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6EC6C522" w14:textId="2CB07F97" w:rsidR="00C77842" w:rsidRDefault="00C77842" w:rsidP="00C77842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DISTINCT </w:t>
      </w:r>
      <w:proofErr w:type="spellStart"/>
      <w:r w:rsidRPr="007F12D5">
        <w:rPr>
          <w:rFonts w:cstheme="minorHAnsi"/>
          <w:b/>
          <w:bCs/>
        </w:rPr>
        <w:t>W</w:t>
      </w:r>
      <w:r w:rsidRPr="007F12D5">
        <w:rPr>
          <w:rFonts w:cstheme="minorHAnsi"/>
          <w:b/>
          <w:bCs/>
          <w:vertAlign w:val="superscript"/>
        </w:rPr>
        <w:t>VI</w:t>
      </w:r>
      <w:r w:rsidRPr="007F12D5">
        <w:rPr>
          <w:rFonts w:cstheme="minorHAnsi"/>
          <w:b/>
          <w:bCs/>
        </w:rPr>
        <w:t>O</w:t>
      </w:r>
      <w:r>
        <w:rPr>
          <w:rFonts w:cstheme="minorHAnsi"/>
          <w:b/>
          <w:bCs/>
          <w:vertAlign w:val="subscript"/>
        </w:rPr>
        <w:t>x</w:t>
      </w:r>
      <w:proofErr w:type="spellEnd"/>
      <w:r>
        <w:rPr>
          <w:rFonts w:cstheme="minorHAnsi"/>
          <w:b/>
          <w:bCs/>
          <w:vertAlign w:val="subscript"/>
        </w:rPr>
        <w:t xml:space="preserve"> </w:t>
      </w:r>
      <w:r>
        <w:rPr>
          <w:rFonts w:cstheme="minorHAnsi"/>
          <w:b/>
          <w:bCs/>
        </w:rPr>
        <w:t xml:space="preserve">CONFIGURATIONS DISPERSED ON TITANIA. </w:t>
      </w:r>
      <w:r w:rsidR="00010F09"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t>TEMPERATURE AND COVERAGE EFFECTS.</w:t>
      </w:r>
    </w:p>
    <w:p w14:paraId="4DAB0A75" w14:textId="35BD1A5F" w:rsidR="00C77842" w:rsidRPr="00444376" w:rsidRDefault="00C77842" w:rsidP="00C77842">
      <w:pPr>
        <w:spacing w:line="240" w:lineRule="auto"/>
        <w:jc w:val="center"/>
        <w:rPr>
          <w:rFonts w:cstheme="minorHAnsi"/>
          <w:b/>
        </w:rPr>
      </w:pPr>
      <w:r w:rsidRPr="00444376">
        <w:rPr>
          <w:rFonts w:cstheme="minorHAnsi"/>
          <w:b/>
          <w:u w:val="single"/>
        </w:rPr>
        <w:t xml:space="preserve">Th. </w:t>
      </w:r>
      <w:proofErr w:type="spellStart"/>
      <w:proofErr w:type="gramStart"/>
      <w:r w:rsidRPr="00444376">
        <w:rPr>
          <w:rFonts w:cstheme="minorHAnsi"/>
          <w:b/>
          <w:u w:val="single"/>
        </w:rPr>
        <w:t>Kentri</w:t>
      </w:r>
      <w:r w:rsidRPr="00444376">
        <w:rPr>
          <w:rFonts w:cstheme="minorHAnsi"/>
          <w:b/>
        </w:rPr>
        <w:t>,</w:t>
      </w:r>
      <w:r w:rsidRPr="00444376">
        <w:rPr>
          <w:rFonts w:cstheme="minorHAnsi"/>
          <w:b/>
          <w:vertAlign w:val="superscript"/>
        </w:rPr>
        <w:t>a</w:t>
      </w:r>
      <w:proofErr w:type="gramEnd"/>
      <w:r w:rsidRPr="00444376">
        <w:rPr>
          <w:rFonts w:cstheme="minorHAnsi"/>
          <w:b/>
          <w:vertAlign w:val="superscript"/>
        </w:rPr>
        <w:t>,b</w:t>
      </w:r>
      <w:proofErr w:type="spellEnd"/>
      <w:r w:rsidRPr="00444376">
        <w:rPr>
          <w:rFonts w:cstheme="minorHAnsi"/>
          <w:b/>
        </w:rPr>
        <w:t xml:space="preserve"> A. </w:t>
      </w:r>
      <w:proofErr w:type="spellStart"/>
      <w:r w:rsidRPr="00444376">
        <w:rPr>
          <w:rFonts w:cstheme="minorHAnsi"/>
          <w:b/>
        </w:rPr>
        <w:t>Misa,</w:t>
      </w:r>
      <w:r w:rsidRPr="00444376">
        <w:rPr>
          <w:rFonts w:cstheme="minorHAnsi"/>
          <w:b/>
          <w:vertAlign w:val="superscript"/>
        </w:rPr>
        <w:t>a</w:t>
      </w:r>
      <w:proofErr w:type="spellEnd"/>
      <w:r w:rsidRPr="00444376">
        <w:rPr>
          <w:rFonts w:cstheme="minorHAnsi"/>
          <w:b/>
        </w:rPr>
        <w:t xml:space="preserve"> A. </w:t>
      </w:r>
      <w:proofErr w:type="spellStart"/>
      <w:r w:rsidRPr="00444376">
        <w:rPr>
          <w:rFonts w:cstheme="minorHAnsi"/>
          <w:b/>
        </w:rPr>
        <w:t>Trimpalis,</w:t>
      </w:r>
      <w:r w:rsidRPr="00444376">
        <w:rPr>
          <w:rFonts w:cstheme="minorHAnsi"/>
          <w:b/>
          <w:vertAlign w:val="superscript"/>
        </w:rPr>
        <w:t>a</w:t>
      </w:r>
      <w:proofErr w:type="spellEnd"/>
      <w:r w:rsidRPr="00444376">
        <w:rPr>
          <w:rFonts w:cstheme="minorHAnsi"/>
          <w:b/>
        </w:rPr>
        <w:t xml:space="preserve"> E. </w:t>
      </w:r>
      <w:proofErr w:type="spellStart"/>
      <w:r w:rsidRPr="00444376">
        <w:rPr>
          <w:rFonts w:cstheme="minorHAnsi"/>
          <w:b/>
        </w:rPr>
        <w:t>Korduli,</w:t>
      </w:r>
      <w:r w:rsidRPr="00444376">
        <w:rPr>
          <w:rFonts w:cstheme="minorHAnsi"/>
          <w:b/>
          <w:vertAlign w:val="superscript"/>
        </w:rPr>
        <w:t>c</w:t>
      </w:r>
      <w:proofErr w:type="spellEnd"/>
      <w:r w:rsidRPr="00444376">
        <w:rPr>
          <w:rFonts w:cstheme="minorHAnsi"/>
          <w:b/>
        </w:rPr>
        <w:t xml:space="preserve"> and S. Boghosian*</w:t>
      </w:r>
      <w:r w:rsidRPr="00444376">
        <w:rPr>
          <w:rFonts w:cstheme="minorHAnsi"/>
          <w:b/>
          <w:vertAlign w:val="superscript"/>
        </w:rPr>
        <w:t>,</w:t>
      </w:r>
      <w:proofErr w:type="spellStart"/>
      <w:r w:rsidRPr="00444376">
        <w:rPr>
          <w:rFonts w:cstheme="minorHAnsi"/>
          <w:b/>
          <w:vertAlign w:val="superscript"/>
        </w:rPr>
        <w:t>a,b,d</w:t>
      </w:r>
      <w:proofErr w:type="spellEnd"/>
      <w:r w:rsidRPr="00444376">
        <w:rPr>
          <w:rFonts w:cstheme="minorHAnsi"/>
          <w:b/>
        </w:rPr>
        <w:t xml:space="preserve"> </w:t>
      </w:r>
    </w:p>
    <w:p w14:paraId="6498CA35" w14:textId="56133BA4" w:rsidR="00C77842" w:rsidRDefault="00C77842" w:rsidP="00C77842">
      <w:pPr>
        <w:spacing w:line="240" w:lineRule="auto"/>
        <w:jc w:val="center"/>
        <w:rPr>
          <w:rStyle w:val="Hyperlink"/>
          <w:i/>
        </w:rPr>
      </w:pPr>
      <w:r w:rsidRPr="007F12D5">
        <w:rPr>
          <w:rFonts w:cstheme="minorHAnsi"/>
          <w:vertAlign w:val="superscript"/>
        </w:rPr>
        <w:t xml:space="preserve">a </w:t>
      </w:r>
      <w:r w:rsidRPr="00E874A8">
        <w:rPr>
          <w:rStyle w:val="hps"/>
        </w:rPr>
        <w:t>Department of Chemical Engine</w:t>
      </w:r>
      <w:r>
        <w:rPr>
          <w:rStyle w:val="hps"/>
        </w:rPr>
        <w:t xml:space="preserve">ering, University of Patras, </w:t>
      </w:r>
      <w:r w:rsidRPr="00E874A8">
        <w:rPr>
          <w:rStyle w:val="hps"/>
        </w:rPr>
        <w:t xml:space="preserve">Patras, </w:t>
      </w:r>
      <w:r w:rsidRPr="007F12D5">
        <w:rPr>
          <w:rFonts w:cstheme="minorHAnsi"/>
        </w:rPr>
        <w:t>26504</w:t>
      </w:r>
      <w:r>
        <w:rPr>
          <w:rFonts w:cstheme="minorHAnsi"/>
        </w:rPr>
        <w:t xml:space="preserve">, </w:t>
      </w:r>
      <w:r w:rsidRPr="00E874A8">
        <w:rPr>
          <w:rStyle w:val="hps"/>
        </w:rPr>
        <w:t>Greece</w:t>
      </w:r>
      <w:r>
        <w:rPr>
          <w:rStyle w:val="hps"/>
        </w:rPr>
        <w:t xml:space="preserve">; </w:t>
      </w:r>
      <w:r>
        <w:rPr>
          <w:rStyle w:val="hps"/>
        </w:rPr>
        <w:br/>
      </w:r>
      <w:r w:rsidRPr="007F12D5">
        <w:rPr>
          <w:rFonts w:cstheme="minorHAnsi"/>
          <w:vertAlign w:val="superscript"/>
        </w:rPr>
        <w:t>b</w:t>
      </w:r>
      <w:r w:rsidRPr="007F12D5">
        <w:rPr>
          <w:rFonts w:cstheme="minorHAnsi"/>
        </w:rPr>
        <w:t xml:space="preserve"> FORTH/ICE-HT. Patras 26504, Greece</w:t>
      </w:r>
      <w:r>
        <w:rPr>
          <w:rStyle w:val="hps"/>
        </w:rPr>
        <w:t xml:space="preserve">; </w:t>
      </w:r>
      <w:r>
        <w:rPr>
          <w:rStyle w:val="hps"/>
        </w:rPr>
        <w:br/>
      </w:r>
      <w:r w:rsidRPr="007F12D5">
        <w:rPr>
          <w:rFonts w:cstheme="minorHAnsi"/>
          <w:vertAlign w:val="superscript"/>
        </w:rPr>
        <w:t xml:space="preserve">c </w:t>
      </w:r>
      <w:r w:rsidRPr="007F12D5">
        <w:rPr>
          <w:rFonts w:cstheme="minorHAnsi"/>
        </w:rPr>
        <w:t>Department of Chemistry, University of Patras, Patras 26504, Greece</w:t>
      </w:r>
      <w:r>
        <w:rPr>
          <w:rFonts w:cstheme="minorHAnsi"/>
        </w:rPr>
        <w:t>;</w:t>
      </w:r>
      <w:r w:rsidRPr="007F12D5"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theme="minorHAnsi"/>
          <w:vertAlign w:val="superscript"/>
        </w:rPr>
        <w:t xml:space="preserve">d </w:t>
      </w:r>
      <w:r>
        <w:rPr>
          <w:rFonts w:cstheme="minorHAnsi"/>
        </w:rPr>
        <w:t>School of Science and Technology, Hellenic Open University, Patras, Greece</w:t>
      </w:r>
      <w:r>
        <w:rPr>
          <w:rFonts w:cstheme="minorHAnsi"/>
        </w:rPr>
        <w:br/>
      </w:r>
      <w:r>
        <w:rPr>
          <w:i/>
        </w:rPr>
        <w:t xml:space="preserve">* </w:t>
      </w:r>
      <w:hyperlink r:id="rId7" w:history="1">
        <w:r w:rsidRPr="00C0178E">
          <w:rPr>
            <w:rStyle w:val="Hyperlink"/>
            <w:i/>
          </w:rPr>
          <w:t>bogosian@chemeng.upatras.gr</w:t>
        </w:r>
      </w:hyperlink>
    </w:p>
    <w:p w14:paraId="4C875A14" w14:textId="6338DDB1" w:rsidR="00C77842" w:rsidRPr="007F12D5" w:rsidRDefault="00C77842" w:rsidP="00C77842">
      <w:pPr>
        <w:spacing w:line="240" w:lineRule="auto"/>
        <w:jc w:val="both"/>
        <w:rPr>
          <w:rStyle w:val="hps"/>
          <w:rFonts w:cstheme="minorHAnsi"/>
        </w:rPr>
      </w:pPr>
      <w:r w:rsidRPr="00C77842">
        <w:rPr>
          <w:rStyle w:val="hps"/>
          <w:rFonts w:cstheme="minorHAnsi"/>
          <w:b/>
          <w:bCs/>
        </w:rPr>
        <w:t>ABSTRACT</w:t>
      </w:r>
      <w:r>
        <w:rPr>
          <w:rStyle w:val="hps"/>
          <w:rFonts w:cstheme="minorHAnsi"/>
          <w:b/>
          <w:bCs/>
        </w:rPr>
        <w:t xml:space="preserve"> </w:t>
      </w:r>
      <w:r>
        <w:rPr>
          <w:rStyle w:val="hps"/>
          <w:rFonts w:cstheme="minorHAnsi"/>
          <w:b/>
          <w:bCs/>
        </w:rPr>
        <w:br/>
      </w:r>
      <w:r>
        <w:rPr>
          <w:rStyle w:val="hps"/>
          <w:rFonts w:cstheme="minorHAnsi"/>
        </w:rPr>
        <w:t xml:space="preserve">Titania supported </w:t>
      </w:r>
      <w:proofErr w:type="spellStart"/>
      <w:r>
        <w:rPr>
          <w:rStyle w:val="hps"/>
          <w:rFonts w:cstheme="minorHAnsi"/>
        </w:rPr>
        <w:t>tungsta</w:t>
      </w:r>
      <w:proofErr w:type="spellEnd"/>
      <w:r>
        <w:rPr>
          <w:rStyle w:val="hps"/>
          <w:rFonts w:cstheme="minorHAnsi"/>
        </w:rPr>
        <w:t xml:space="preserve"> constitute a class of materials widely used in environmental and industrial catalysis. To date, literature reports on the molecular structure of (</w:t>
      </w:r>
      <w:proofErr w:type="spellStart"/>
      <w:r>
        <w:rPr>
          <w:rStyle w:val="hps"/>
          <w:rFonts w:cstheme="minorHAnsi"/>
        </w:rPr>
        <w:t>WO</w:t>
      </w:r>
      <w:r>
        <w:rPr>
          <w:rStyle w:val="hps"/>
          <w:rFonts w:cstheme="minorHAnsi"/>
          <w:vertAlign w:val="subscript"/>
        </w:rPr>
        <w:t>x</w:t>
      </w:r>
      <w:proofErr w:type="spellEnd"/>
      <w:r>
        <w:rPr>
          <w:rStyle w:val="hps"/>
          <w:rFonts w:cstheme="minorHAnsi"/>
        </w:rPr>
        <w:t>)</w:t>
      </w:r>
      <w:r>
        <w:rPr>
          <w:rStyle w:val="hps"/>
          <w:rFonts w:cstheme="minorHAnsi"/>
          <w:vertAlign w:val="subscript"/>
        </w:rPr>
        <w:t>n</w:t>
      </w:r>
      <w:r>
        <w:rPr>
          <w:rStyle w:val="hps"/>
          <w:rFonts w:cstheme="minorHAnsi"/>
        </w:rPr>
        <w:t xml:space="preserve"> sites dispersed on TiO</w:t>
      </w:r>
      <w:r>
        <w:rPr>
          <w:rStyle w:val="hps"/>
          <w:rFonts w:cstheme="minorHAnsi"/>
          <w:vertAlign w:val="subscript"/>
        </w:rPr>
        <w:t xml:space="preserve">2 </w:t>
      </w:r>
      <w:r w:rsidRPr="00343537">
        <w:rPr>
          <w:rStyle w:val="hps"/>
          <w:rFonts w:cstheme="minorHAnsi"/>
        </w:rPr>
        <w:t>are</w:t>
      </w:r>
      <w:r>
        <w:rPr>
          <w:rStyle w:val="hps"/>
          <w:rFonts w:cstheme="minorHAnsi"/>
        </w:rPr>
        <w:t xml:space="preserve"> far from being in consensus. Site configurations (i.e., mono-oxo vs di-oxo), wolfram coordination and aspects related to occurrence of multiple sites with distinct configurations remain open. Literature reports have often relied to </w:t>
      </w:r>
      <w:r w:rsidRPr="007F12D5">
        <w:rPr>
          <w:rStyle w:val="hps"/>
          <w:rFonts w:cstheme="minorHAnsi"/>
        </w:rPr>
        <w:t xml:space="preserve">one </w:t>
      </w:r>
      <w:r>
        <w:rPr>
          <w:rStyle w:val="hps"/>
          <w:rFonts w:cstheme="minorHAnsi"/>
        </w:rPr>
        <w:t xml:space="preserve">or two samples below monolayer coverage or to spectroscopic measurements </w:t>
      </w:r>
      <w:r w:rsidRPr="007F12D5">
        <w:rPr>
          <w:rStyle w:val="hps"/>
          <w:rFonts w:cstheme="minorHAnsi"/>
        </w:rPr>
        <w:t>after cooling the sample</w:t>
      </w:r>
      <w:r>
        <w:rPr>
          <w:rStyle w:val="hps"/>
          <w:rFonts w:cstheme="minorHAnsi"/>
        </w:rPr>
        <w:t xml:space="preserve"> or to “fast” spectroscopic measurements, thereby suffering from one or more deficiencies</w:t>
      </w:r>
      <w:r w:rsidRPr="007F12D5">
        <w:rPr>
          <w:rStyle w:val="hps"/>
          <w:rFonts w:cstheme="minorHAnsi"/>
        </w:rPr>
        <w:t>.</w:t>
      </w:r>
    </w:p>
    <w:p w14:paraId="7F979D15" w14:textId="2FEE9AEA" w:rsidR="00C77842" w:rsidRDefault="00C77842" w:rsidP="00C77842">
      <w:pPr>
        <w:spacing w:line="240" w:lineRule="auto"/>
        <w:ind w:firstLine="720"/>
        <w:jc w:val="both"/>
        <w:rPr>
          <w:rStyle w:val="hps"/>
          <w:rFonts w:cstheme="minorHAnsi"/>
        </w:rPr>
      </w:pPr>
      <w:r w:rsidRPr="007F12D5">
        <w:rPr>
          <w:rFonts w:cstheme="minorHAnsi"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5C566C8D" wp14:editId="0433A2CF">
            <wp:simplePos x="0" y="0"/>
            <wp:positionH relativeFrom="margin">
              <wp:posOffset>-62865</wp:posOffset>
            </wp:positionH>
            <wp:positionV relativeFrom="paragraph">
              <wp:posOffset>1962785</wp:posOffset>
            </wp:positionV>
            <wp:extent cx="3981450" cy="2717800"/>
            <wp:effectExtent l="0" t="0" r="0" b="6350"/>
            <wp:wrapSquare wrapText="bothSides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0"/>
                    <a:stretch/>
                  </pic:blipFill>
                  <pic:spPr bwMode="auto">
                    <a:xfrm>
                      <a:off x="0" y="0"/>
                      <a:ext cx="3981450" cy="271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Style w:val="hps"/>
          <w:rFonts w:cstheme="minorHAnsi"/>
        </w:rPr>
        <w:t xml:space="preserve">In the present work, all available tools of </w:t>
      </w:r>
      <w:r>
        <w:rPr>
          <w:rStyle w:val="hps"/>
          <w:rFonts w:cstheme="minorHAnsi"/>
          <w:i/>
          <w:iCs/>
        </w:rPr>
        <w:t xml:space="preserve">in situ </w:t>
      </w:r>
      <w:r>
        <w:rPr>
          <w:rStyle w:val="hps"/>
          <w:rFonts w:cstheme="minorHAnsi"/>
        </w:rPr>
        <w:t xml:space="preserve">molecular vibrational spectroscopy are deployed in the temperature range of </w:t>
      </w:r>
      <w:r w:rsidRPr="007F12D5">
        <w:rPr>
          <w:rStyle w:val="hps"/>
          <w:rFonts w:cstheme="minorHAnsi"/>
        </w:rPr>
        <w:t>120 – 430</w:t>
      </w:r>
      <w:r w:rsidRPr="001F2B9E">
        <w:rPr>
          <w:rStyle w:val="hps"/>
          <w:rFonts w:cstheme="minorHAnsi"/>
          <w:vertAlign w:val="superscript"/>
        </w:rPr>
        <w:t>o</w:t>
      </w:r>
      <w:r w:rsidRPr="007F12D5">
        <w:rPr>
          <w:rStyle w:val="hps"/>
          <w:rFonts w:cstheme="minorHAnsi"/>
        </w:rPr>
        <w:t>C</w:t>
      </w:r>
      <w:r>
        <w:rPr>
          <w:rStyle w:val="hps"/>
          <w:rFonts w:cstheme="minorHAnsi"/>
        </w:rPr>
        <w:t xml:space="preserve">. </w:t>
      </w:r>
      <w:r>
        <w:rPr>
          <w:rStyle w:val="hps"/>
          <w:rFonts w:cstheme="minorHAnsi"/>
          <w:i/>
          <w:iCs/>
        </w:rPr>
        <w:t xml:space="preserve">In situ </w:t>
      </w:r>
      <w:r>
        <w:rPr>
          <w:rStyle w:val="hps"/>
          <w:rFonts w:cstheme="minorHAnsi"/>
        </w:rPr>
        <w:t xml:space="preserve">Raman spectroscopy complemented by </w:t>
      </w:r>
      <w:r>
        <w:rPr>
          <w:rStyle w:val="hps"/>
          <w:rFonts w:cstheme="minorHAnsi"/>
          <w:i/>
          <w:iCs/>
        </w:rPr>
        <w:t xml:space="preserve">in situ </w:t>
      </w:r>
      <w:r>
        <w:rPr>
          <w:rStyle w:val="hps"/>
          <w:rFonts w:cstheme="minorHAnsi"/>
        </w:rPr>
        <w:t xml:space="preserve">FTIR in the overtone spectral region and </w:t>
      </w:r>
      <w:r>
        <w:rPr>
          <w:rStyle w:val="hps"/>
          <w:rFonts w:cstheme="minorHAnsi"/>
          <w:i/>
          <w:iCs/>
        </w:rPr>
        <w:t xml:space="preserve">in situ </w:t>
      </w:r>
      <w:r>
        <w:rPr>
          <w:rStyle w:val="hps"/>
          <w:rFonts w:cstheme="minorHAnsi"/>
        </w:rPr>
        <w:t>Raman/</w:t>
      </w:r>
      <w:r w:rsidRPr="008B2BC0">
        <w:rPr>
          <w:rStyle w:val="hps"/>
          <w:rFonts w:cstheme="minorHAnsi"/>
          <w:vertAlign w:val="superscript"/>
        </w:rPr>
        <w:t>18</w:t>
      </w:r>
      <w:r w:rsidRPr="007F12D5">
        <w:rPr>
          <w:rStyle w:val="hps"/>
          <w:rFonts w:cstheme="minorHAnsi"/>
        </w:rPr>
        <w:t>O isotope exchange</w:t>
      </w:r>
      <w:r>
        <w:rPr>
          <w:rStyle w:val="hps"/>
          <w:rFonts w:cstheme="minorHAnsi"/>
        </w:rPr>
        <w:t xml:space="preserve"> measurements have been applied for probing the heterogeneity of the </w:t>
      </w:r>
      <w:r w:rsidRPr="007F12D5">
        <w:rPr>
          <w:rStyle w:val="hps"/>
          <w:rFonts w:cstheme="minorHAnsi"/>
        </w:rPr>
        <w:t xml:space="preserve">molecular structural configurations of </w:t>
      </w:r>
      <w:proofErr w:type="spellStart"/>
      <w:r w:rsidRPr="007F12D5">
        <w:rPr>
          <w:rStyle w:val="hps"/>
          <w:rFonts w:cstheme="minorHAnsi"/>
        </w:rPr>
        <w:t>W</w:t>
      </w:r>
      <w:r w:rsidRPr="008B2BC0">
        <w:rPr>
          <w:rStyle w:val="hps"/>
          <w:rFonts w:cstheme="minorHAnsi"/>
          <w:vertAlign w:val="superscript"/>
        </w:rPr>
        <w:t>VI</w:t>
      </w:r>
      <w:r w:rsidRPr="007F12D5">
        <w:rPr>
          <w:rStyle w:val="hps"/>
          <w:rFonts w:cstheme="minorHAnsi"/>
        </w:rPr>
        <w:t>O</w:t>
      </w:r>
      <w:r w:rsidRPr="008B2BC0">
        <w:rPr>
          <w:rStyle w:val="hps"/>
          <w:rFonts w:cstheme="minorHAnsi"/>
          <w:vertAlign w:val="subscript"/>
        </w:rPr>
        <w:t>x</w:t>
      </w:r>
      <w:proofErr w:type="spellEnd"/>
      <w:r>
        <w:rPr>
          <w:rStyle w:val="hps"/>
          <w:rFonts w:cstheme="minorHAnsi"/>
        </w:rPr>
        <w:t xml:space="preserve"> dispersed on titania. Incipient wetness impregnation was utilized to synthesize </w:t>
      </w:r>
      <w:r w:rsidRPr="007F12D5">
        <w:rPr>
          <w:rStyle w:val="hps"/>
          <w:rFonts w:cstheme="minorHAnsi"/>
        </w:rPr>
        <w:t xml:space="preserve">supported </w:t>
      </w:r>
      <w:proofErr w:type="spellStart"/>
      <w:r w:rsidRPr="007F12D5">
        <w:rPr>
          <w:rStyle w:val="hps"/>
          <w:rFonts w:cstheme="minorHAnsi"/>
        </w:rPr>
        <w:t>WO</w:t>
      </w:r>
      <w:r w:rsidRPr="008B2BC0">
        <w:rPr>
          <w:rStyle w:val="hps"/>
          <w:rFonts w:cstheme="minorHAnsi"/>
          <w:vertAlign w:val="subscript"/>
        </w:rPr>
        <w:t>x</w:t>
      </w:r>
      <w:proofErr w:type="spellEnd"/>
      <w:r w:rsidRPr="007F12D5">
        <w:rPr>
          <w:rStyle w:val="hps"/>
          <w:rFonts w:cstheme="minorHAnsi"/>
        </w:rPr>
        <w:t>/TiO</w:t>
      </w:r>
      <w:r w:rsidRPr="008B2BC0">
        <w:rPr>
          <w:rStyle w:val="hps"/>
          <w:rFonts w:cstheme="minorHAnsi"/>
          <w:vertAlign w:val="subscript"/>
        </w:rPr>
        <w:t>2</w:t>
      </w:r>
      <w:r w:rsidRPr="007F12D5">
        <w:rPr>
          <w:rStyle w:val="hps"/>
          <w:rFonts w:cstheme="minorHAnsi"/>
        </w:rPr>
        <w:t xml:space="preserve"> catalysts</w:t>
      </w:r>
      <w:r>
        <w:rPr>
          <w:rStyle w:val="hps"/>
          <w:rFonts w:cstheme="minorHAnsi"/>
        </w:rPr>
        <w:t xml:space="preserve"> on two variations of TiO</w:t>
      </w:r>
      <w:r>
        <w:rPr>
          <w:rStyle w:val="hps"/>
          <w:rFonts w:cstheme="minorHAnsi"/>
          <w:vertAlign w:val="subscript"/>
        </w:rPr>
        <w:t>2</w:t>
      </w:r>
      <w:r>
        <w:rPr>
          <w:rStyle w:val="hps"/>
          <w:rFonts w:cstheme="minorHAnsi"/>
        </w:rPr>
        <w:t xml:space="preserve"> (P25 and anatase) </w:t>
      </w:r>
      <w:r w:rsidRPr="007F12D5">
        <w:rPr>
          <w:rStyle w:val="hps"/>
          <w:rFonts w:cstheme="minorHAnsi"/>
        </w:rPr>
        <w:t>at coverages</w:t>
      </w:r>
      <w:r>
        <w:rPr>
          <w:rStyle w:val="hps"/>
          <w:rFonts w:cstheme="minorHAnsi"/>
        </w:rPr>
        <w:t xml:space="preserve"> up to the approximate monolayer</w:t>
      </w:r>
      <w:r w:rsidRPr="007F12D5">
        <w:rPr>
          <w:rStyle w:val="hps"/>
          <w:rFonts w:cstheme="minorHAnsi"/>
        </w:rPr>
        <w:t xml:space="preserve"> </w:t>
      </w:r>
      <w:r>
        <w:rPr>
          <w:rStyle w:val="hps"/>
          <w:rFonts w:cstheme="minorHAnsi"/>
        </w:rPr>
        <w:t>(</w:t>
      </w:r>
      <w:r w:rsidRPr="007F12D5">
        <w:rPr>
          <w:rStyle w:val="hps"/>
          <w:rFonts w:cstheme="minorHAnsi"/>
        </w:rPr>
        <w:t>0.5 – 4.5 W/nm</w:t>
      </w:r>
      <w:r w:rsidRPr="008B2BC0">
        <w:rPr>
          <w:rStyle w:val="hps"/>
          <w:rFonts w:cstheme="minorHAnsi"/>
          <w:vertAlign w:val="superscript"/>
        </w:rPr>
        <w:t>2</w:t>
      </w:r>
      <w:r>
        <w:rPr>
          <w:rStyle w:val="hps"/>
          <w:rFonts w:cstheme="minorHAnsi"/>
        </w:rPr>
        <w:t xml:space="preserve">). Moreover, results of neoteric Raman studies in sealed quartz cells under static equilibrium were exploited to cross-check the </w:t>
      </w:r>
      <w:proofErr w:type="gramStart"/>
      <w:r w:rsidRPr="00BB11A1">
        <w:rPr>
          <w:rStyle w:val="hps"/>
          <w:rFonts w:cstheme="minorHAnsi"/>
          <w:i/>
          <w:iCs/>
        </w:rPr>
        <w:t>in situ</w:t>
      </w:r>
      <w:proofErr w:type="gramEnd"/>
      <w:r>
        <w:rPr>
          <w:rStyle w:val="hps"/>
          <w:rFonts w:cstheme="minorHAnsi"/>
        </w:rPr>
        <w:t xml:space="preserve"> findings, extended also in hydroxyl region of the spectra. Distinct </w:t>
      </w:r>
      <w:proofErr w:type="spellStart"/>
      <w:r>
        <w:rPr>
          <w:rStyle w:val="hps"/>
          <w:rFonts w:cstheme="minorHAnsi"/>
        </w:rPr>
        <w:t>WO</w:t>
      </w:r>
      <w:r>
        <w:rPr>
          <w:rStyle w:val="hps"/>
          <w:rFonts w:cstheme="minorHAnsi"/>
          <w:vertAlign w:val="subscript"/>
        </w:rPr>
        <w:t>x</w:t>
      </w:r>
      <w:proofErr w:type="spellEnd"/>
      <w:r>
        <w:rPr>
          <w:rStyle w:val="hps"/>
          <w:rFonts w:cstheme="minorHAnsi"/>
        </w:rPr>
        <w:t xml:space="preserve"> site configurations (“Species-I”, “Species-II” and Species-III”) were identified, the prevalence of which is ruled by temperature and coverage. A </w:t>
      </w:r>
      <w:r w:rsidRPr="007F12D5">
        <w:rPr>
          <w:rStyle w:val="hps"/>
          <w:rFonts w:cstheme="minorHAnsi"/>
        </w:rPr>
        <w:t>rever</w:t>
      </w:r>
      <w:r>
        <w:rPr>
          <w:rStyle w:val="hps"/>
          <w:rFonts w:cstheme="minorHAnsi"/>
        </w:rPr>
        <w:t xml:space="preserve">sible temperature-dependent molecular level mechanism mediated by water molecules </w:t>
      </w:r>
      <w:r w:rsidRPr="007F12D5">
        <w:rPr>
          <w:rStyle w:val="hps"/>
          <w:rFonts w:cstheme="minorHAnsi"/>
        </w:rPr>
        <w:t xml:space="preserve">retained on </w:t>
      </w:r>
      <w:r>
        <w:rPr>
          <w:rStyle w:val="hps"/>
          <w:rFonts w:cstheme="minorHAnsi"/>
        </w:rPr>
        <w:t xml:space="preserve">the </w:t>
      </w:r>
      <w:r w:rsidRPr="007F12D5">
        <w:rPr>
          <w:rStyle w:val="hps"/>
          <w:rFonts w:cstheme="minorHAnsi"/>
        </w:rPr>
        <w:t xml:space="preserve">support </w:t>
      </w:r>
      <w:r>
        <w:rPr>
          <w:rStyle w:val="hps"/>
          <w:rFonts w:cstheme="minorHAnsi"/>
        </w:rPr>
        <w:t xml:space="preserve">is proposed to account for the “Species-II” </w:t>
      </w:r>
      <w:r>
        <w:rPr>
          <w:rStyle w:val="hps"/>
          <w:rFonts w:cstheme="minorHAnsi"/>
        </w:rPr>
        <w:sym w:font="Symbol" w:char="F0AB"/>
      </w:r>
      <w:r>
        <w:rPr>
          <w:rStyle w:val="hps"/>
          <w:rFonts w:cstheme="minorHAnsi"/>
        </w:rPr>
        <w:t xml:space="preserve"> Species-III”</w:t>
      </w:r>
      <w:r w:rsidRPr="00864F3E">
        <w:rPr>
          <w:rStyle w:val="hps"/>
          <w:rFonts w:cstheme="minorHAnsi"/>
        </w:rPr>
        <w:t xml:space="preserve"> </w:t>
      </w:r>
      <w:r>
        <w:rPr>
          <w:rStyle w:val="hps"/>
          <w:rFonts w:cstheme="minorHAnsi"/>
        </w:rPr>
        <w:t>transformation.</w:t>
      </w:r>
    </w:p>
    <w:p w14:paraId="76723D70" w14:textId="6368E32C" w:rsidR="00C77842" w:rsidRPr="007F12D5" w:rsidRDefault="00C77842" w:rsidP="00C77842">
      <w:pPr>
        <w:spacing w:line="240" w:lineRule="auto"/>
        <w:ind w:firstLine="720"/>
        <w:jc w:val="both"/>
        <w:rPr>
          <w:rFonts w:cstheme="minorHAnsi"/>
        </w:rPr>
      </w:pPr>
      <w:r w:rsidRPr="007F12D5">
        <w:rPr>
          <w:rStyle w:val="hps"/>
          <w:rFonts w:cstheme="minorHAnsi"/>
        </w:rPr>
        <w:t xml:space="preserve">Hence, the current study </w:t>
      </w:r>
      <w:r>
        <w:rPr>
          <w:rStyle w:val="hps"/>
          <w:rFonts w:cstheme="minorHAnsi"/>
        </w:rPr>
        <w:t>addresses</w:t>
      </w:r>
      <w:r w:rsidRPr="007F12D5">
        <w:rPr>
          <w:rStyle w:val="hps"/>
          <w:rFonts w:cstheme="minorHAnsi"/>
        </w:rPr>
        <w:t xml:space="preserve"> open questions regarding the prevalence of </w:t>
      </w:r>
      <w:proofErr w:type="gramStart"/>
      <w:r>
        <w:rPr>
          <w:rStyle w:val="hps"/>
          <w:rFonts w:cstheme="minorHAnsi"/>
        </w:rPr>
        <w:t xml:space="preserve">particular </w:t>
      </w:r>
      <w:r w:rsidRPr="007F12D5">
        <w:rPr>
          <w:rStyle w:val="hps"/>
          <w:rFonts w:cstheme="minorHAnsi"/>
        </w:rPr>
        <w:t>molecular</w:t>
      </w:r>
      <w:proofErr w:type="gramEnd"/>
      <w:r w:rsidRPr="007F12D5">
        <w:rPr>
          <w:rStyle w:val="hps"/>
          <w:rFonts w:cstheme="minorHAnsi"/>
        </w:rPr>
        <w:t xml:space="preserve"> </w:t>
      </w:r>
      <w:proofErr w:type="spellStart"/>
      <w:r>
        <w:rPr>
          <w:rStyle w:val="hps"/>
          <w:rFonts w:cstheme="minorHAnsi"/>
        </w:rPr>
        <w:t>WO</w:t>
      </w:r>
      <w:r>
        <w:rPr>
          <w:rStyle w:val="hps"/>
          <w:rFonts w:cstheme="minorHAnsi"/>
          <w:vertAlign w:val="subscript"/>
        </w:rPr>
        <w:t>x</w:t>
      </w:r>
      <w:proofErr w:type="spellEnd"/>
      <w:r>
        <w:rPr>
          <w:rStyle w:val="hps"/>
          <w:rFonts w:cstheme="minorHAnsi"/>
        </w:rPr>
        <w:t xml:space="preserve"> </w:t>
      </w:r>
      <w:r w:rsidRPr="007F12D5">
        <w:rPr>
          <w:rStyle w:val="hps"/>
          <w:rFonts w:cstheme="minorHAnsi"/>
        </w:rPr>
        <w:t>structures deposited on titania</w:t>
      </w:r>
      <w:r>
        <w:rPr>
          <w:rStyle w:val="hps"/>
          <w:rFonts w:cstheme="minorHAnsi"/>
        </w:rPr>
        <w:t xml:space="preserve"> and the heterogeneity of the dispersed </w:t>
      </w:r>
      <w:proofErr w:type="spellStart"/>
      <w:r w:rsidRPr="007F12D5">
        <w:rPr>
          <w:rStyle w:val="hps"/>
          <w:rFonts w:cstheme="minorHAnsi"/>
        </w:rPr>
        <w:t>WO</w:t>
      </w:r>
      <w:r w:rsidRPr="005F50C4">
        <w:rPr>
          <w:rStyle w:val="hps"/>
          <w:rFonts w:cstheme="minorHAnsi"/>
          <w:vertAlign w:val="subscript"/>
        </w:rPr>
        <w:t>x</w:t>
      </w:r>
      <w:proofErr w:type="spellEnd"/>
      <w:r>
        <w:rPr>
          <w:rStyle w:val="hps"/>
          <w:rFonts w:cstheme="minorHAnsi"/>
        </w:rPr>
        <w:t xml:space="preserve"> phase on </w:t>
      </w:r>
      <w:r w:rsidRPr="007F12D5">
        <w:rPr>
          <w:rStyle w:val="hps"/>
          <w:rFonts w:cstheme="minorHAnsi"/>
        </w:rPr>
        <w:t>TiO</w:t>
      </w:r>
      <w:r w:rsidRPr="005F50C4">
        <w:rPr>
          <w:rStyle w:val="hps"/>
          <w:rFonts w:cstheme="minorHAnsi"/>
          <w:vertAlign w:val="subscript"/>
        </w:rPr>
        <w:t>2</w:t>
      </w:r>
      <w:r w:rsidRPr="007F12D5">
        <w:rPr>
          <w:rFonts w:cstheme="minorHAnsi"/>
        </w:rPr>
        <w:t>.</w:t>
      </w:r>
    </w:p>
    <w:p w14:paraId="1D7BAB28" w14:textId="6E6B5473" w:rsidR="004F7B38" w:rsidRPr="00010F09" w:rsidRDefault="00C77842" w:rsidP="00055CAD">
      <w:pPr>
        <w:spacing w:after="20" w:line="240" w:lineRule="auto"/>
        <w:jc w:val="both"/>
        <w:rPr>
          <w:rFonts w:cs="Times New Roman"/>
          <w:b/>
          <w:bCs/>
          <w:szCs w:val="24"/>
        </w:rPr>
      </w:pPr>
      <w:r w:rsidRPr="00C77842">
        <w:rPr>
          <w:rFonts w:cstheme="minorHAnsi"/>
          <w:b/>
          <w:bCs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7B9B83" wp14:editId="37270158">
                <wp:simplePos x="0" y="0"/>
                <wp:positionH relativeFrom="margin">
                  <wp:posOffset>41275</wp:posOffset>
                </wp:positionH>
                <wp:positionV relativeFrom="paragraph">
                  <wp:posOffset>221615</wp:posOffset>
                </wp:positionV>
                <wp:extent cx="3876675" cy="5619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368AF" w14:textId="0998D6C3" w:rsidR="00C77842" w:rsidRPr="007F12D5" w:rsidRDefault="00C77842" w:rsidP="00C77842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F12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Figure. </w:t>
                            </w:r>
                            <w:r w:rsidRPr="007F12D5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Sequential</w:t>
                            </w:r>
                            <w:r w:rsidRPr="007F12D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12D5">
                              <w:rPr>
                                <w:rFonts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in situ</w:t>
                            </w:r>
                            <w:r w:rsidRPr="007F12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Raman and FTIR spectra obtained for 2.1 </w:t>
                            </w:r>
                            <w:proofErr w:type="spellStart"/>
                            <w:r w:rsidRPr="007F12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</w:t>
                            </w:r>
                            <w:r w:rsidRPr="007F12D5">
                              <w:rPr>
                                <w:rFonts w:cstheme="minorHAnsi"/>
                                <w:sz w:val="20"/>
                                <w:szCs w:val="20"/>
                                <w:vertAlign w:val="subscript"/>
                              </w:rPr>
                              <w:t>x</w:t>
                            </w:r>
                            <w:proofErr w:type="spellEnd"/>
                            <w:r w:rsidRPr="007F12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/TiO</w:t>
                            </w:r>
                            <w:r w:rsidRPr="007F12D5">
                              <w:rPr>
                                <w:rFonts w:cstheme="minorHAnsi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7F12D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(P25) in order of decreasing temperatures. Evidence for occurrence of three distinct species [(I), (II) and (III)].  </w:t>
                            </w:r>
                          </w:p>
                          <w:p w14:paraId="69BB416D" w14:textId="12A97276" w:rsidR="00C77842" w:rsidRDefault="00C77842" w:rsidP="00C7784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B9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5pt;margin-top:17.45pt;width:305.2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" stroked="f">
                <v:textbox>
                  <w:txbxContent>
                    <w:p w14:paraId="04A368AF" w14:textId="0998D6C3" w:rsidR="00C77842" w:rsidRPr="007F12D5" w:rsidRDefault="00C77842" w:rsidP="00C77842">
                      <w:pPr>
                        <w:spacing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F12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Figure. </w:t>
                      </w:r>
                      <w:r w:rsidRPr="007F12D5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Sequential</w:t>
                      </w:r>
                      <w:r w:rsidRPr="007F12D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F12D5">
                        <w:rPr>
                          <w:rFonts w:cstheme="minorHAnsi"/>
                          <w:i/>
                          <w:iCs/>
                          <w:sz w:val="20"/>
                          <w:szCs w:val="20"/>
                        </w:rPr>
                        <w:t>in situ</w:t>
                      </w:r>
                      <w:r w:rsidRPr="007F12D5">
                        <w:rPr>
                          <w:rFonts w:cstheme="minorHAnsi"/>
                          <w:sz w:val="20"/>
                          <w:szCs w:val="20"/>
                        </w:rPr>
                        <w:t xml:space="preserve"> Raman and FTIR spectra obtained for 2.1 </w:t>
                      </w:r>
                      <w:proofErr w:type="spellStart"/>
                      <w:r w:rsidRPr="007F12D5">
                        <w:rPr>
                          <w:rFonts w:cstheme="minorHAnsi"/>
                          <w:sz w:val="20"/>
                          <w:szCs w:val="20"/>
                        </w:rPr>
                        <w:t>WO</w:t>
                      </w:r>
                      <w:r w:rsidRPr="007F12D5">
                        <w:rPr>
                          <w:rFonts w:cstheme="minorHAnsi"/>
                          <w:sz w:val="20"/>
                          <w:szCs w:val="20"/>
                          <w:vertAlign w:val="subscript"/>
                        </w:rPr>
                        <w:t>x</w:t>
                      </w:r>
                      <w:proofErr w:type="spellEnd"/>
                      <w:r w:rsidRPr="007F12D5">
                        <w:rPr>
                          <w:rFonts w:cstheme="minorHAnsi"/>
                          <w:sz w:val="20"/>
                          <w:szCs w:val="20"/>
                        </w:rPr>
                        <w:t>/TiO</w:t>
                      </w:r>
                      <w:r w:rsidRPr="007F12D5">
                        <w:rPr>
                          <w:rFonts w:cstheme="minorHAnsi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7F12D5">
                        <w:rPr>
                          <w:rFonts w:cstheme="minorHAnsi"/>
                          <w:sz w:val="20"/>
                          <w:szCs w:val="20"/>
                        </w:rPr>
                        <w:t xml:space="preserve">(P25) in order of decreasing temperatures. Evidence for occurrence of three distinct species [(I), (II) and (III)].  </w:t>
                      </w:r>
                    </w:p>
                    <w:p w14:paraId="69BB416D" w14:textId="12A97276" w:rsidR="00C77842" w:rsidRDefault="00C77842" w:rsidP="00C77842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bCs/>
          <w:sz w:val="22"/>
          <w:szCs w:val="20"/>
        </w:rPr>
        <w:br/>
      </w:r>
      <w:r w:rsidRPr="00C77842">
        <w:rPr>
          <w:rFonts w:cstheme="minorHAnsi"/>
          <w:b/>
          <w:bCs/>
          <w:sz w:val="22"/>
          <w:szCs w:val="20"/>
        </w:rPr>
        <w:t xml:space="preserve">KEYWORDS: </w:t>
      </w:r>
      <w:proofErr w:type="spellStart"/>
      <w:r w:rsidRPr="00C77842">
        <w:rPr>
          <w:rFonts w:cstheme="minorHAnsi"/>
          <w:bCs/>
          <w:sz w:val="20"/>
          <w:szCs w:val="20"/>
        </w:rPr>
        <w:t>tungsta</w:t>
      </w:r>
      <w:proofErr w:type="spellEnd"/>
      <w:r w:rsidRPr="00C77842">
        <w:rPr>
          <w:rFonts w:cstheme="minorHAnsi"/>
          <w:bCs/>
          <w:sz w:val="20"/>
          <w:szCs w:val="20"/>
        </w:rPr>
        <w:t xml:space="preserve">/titania catalysts; dispersed phase configurations; in situ spectroscopy; temperature </w:t>
      </w:r>
      <w:proofErr w:type="spellStart"/>
      <w:r w:rsidRPr="00C77842">
        <w:rPr>
          <w:rFonts w:cstheme="minorHAnsi"/>
          <w:bCs/>
          <w:sz w:val="20"/>
          <w:szCs w:val="20"/>
        </w:rPr>
        <w:t>depen</w:t>
      </w:r>
      <w:r w:rsidR="00D21BF2">
        <w:rPr>
          <w:rFonts w:cstheme="minorHAnsi"/>
          <w:bCs/>
          <w:sz w:val="20"/>
          <w:szCs w:val="20"/>
        </w:rPr>
        <w:t>-</w:t>
      </w:r>
      <w:r w:rsidRPr="00C77842">
        <w:rPr>
          <w:rFonts w:cstheme="minorHAnsi"/>
          <w:bCs/>
          <w:sz w:val="20"/>
          <w:szCs w:val="20"/>
        </w:rPr>
        <w:t>dence</w:t>
      </w:r>
      <w:proofErr w:type="spellEnd"/>
      <w:r w:rsidRPr="00C77842">
        <w:rPr>
          <w:rFonts w:cstheme="minorHAnsi"/>
          <w:bCs/>
          <w:sz w:val="20"/>
          <w:szCs w:val="20"/>
        </w:rPr>
        <w:t>; surface characteristics</w:t>
      </w:r>
    </w:p>
    <w:sectPr w:rsidR="004F7B38" w:rsidRPr="00010F09" w:rsidSect="00032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8E8D" w14:textId="77777777" w:rsidR="002116B5" w:rsidRDefault="002116B5" w:rsidP="00B10FCD">
      <w:pPr>
        <w:spacing w:after="0" w:line="240" w:lineRule="auto"/>
      </w:pPr>
      <w:r>
        <w:separator/>
      </w:r>
    </w:p>
  </w:endnote>
  <w:endnote w:type="continuationSeparator" w:id="0">
    <w:p w14:paraId="01FEFD52" w14:textId="77777777" w:rsidR="002116B5" w:rsidRDefault="002116B5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A71D" w14:textId="77777777" w:rsidR="002116B5" w:rsidRDefault="002116B5" w:rsidP="00B10FCD">
      <w:pPr>
        <w:spacing w:after="0" w:line="240" w:lineRule="auto"/>
      </w:pPr>
      <w:r>
        <w:separator/>
      </w:r>
    </w:p>
  </w:footnote>
  <w:footnote w:type="continuationSeparator" w:id="0">
    <w:p w14:paraId="5A3ED4AE" w14:textId="77777777" w:rsidR="002116B5" w:rsidRDefault="002116B5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10F09"/>
    <w:rsid w:val="00055CAD"/>
    <w:rsid w:val="000E7582"/>
    <w:rsid w:val="00100E5B"/>
    <w:rsid w:val="001327BE"/>
    <w:rsid w:val="00134726"/>
    <w:rsid w:val="00137B0D"/>
    <w:rsid w:val="002116B5"/>
    <w:rsid w:val="00257888"/>
    <w:rsid w:val="002607CE"/>
    <w:rsid w:val="0027478C"/>
    <w:rsid w:val="002937B1"/>
    <w:rsid w:val="002938E7"/>
    <w:rsid w:val="002B13CB"/>
    <w:rsid w:val="003F4BCB"/>
    <w:rsid w:val="00406EAA"/>
    <w:rsid w:val="00411CC6"/>
    <w:rsid w:val="004F7B38"/>
    <w:rsid w:val="005A4565"/>
    <w:rsid w:val="00650F36"/>
    <w:rsid w:val="00670DAB"/>
    <w:rsid w:val="006A5127"/>
    <w:rsid w:val="00705DF0"/>
    <w:rsid w:val="00915963"/>
    <w:rsid w:val="0091656E"/>
    <w:rsid w:val="00935497"/>
    <w:rsid w:val="009803F2"/>
    <w:rsid w:val="00997EF7"/>
    <w:rsid w:val="009C653D"/>
    <w:rsid w:val="00A84D47"/>
    <w:rsid w:val="00AA4FE7"/>
    <w:rsid w:val="00AB16ED"/>
    <w:rsid w:val="00AC44BD"/>
    <w:rsid w:val="00AD393E"/>
    <w:rsid w:val="00AF459A"/>
    <w:rsid w:val="00B10FCD"/>
    <w:rsid w:val="00B36AC7"/>
    <w:rsid w:val="00C04EBD"/>
    <w:rsid w:val="00C07544"/>
    <w:rsid w:val="00C55D63"/>
    <w:rsid w:val="00C676A0"/>
    <w:rsid w:val="00C77842"/>
    <w:rsid w:val="00C84852"/>
    <w:rsid w:val="00CF4EEC"/>
    <w:rsid w:val="00D21BF2"/>
    <w:rsid w:val="00D678BE"/>
    <w:rsid w:val="00DA5472"/>
    <w:rsid w:val="00DE346C"/>
    <w:rsid w:val="00E63CAC"/>
    <w:rsid w:val="00E853C3"/>
    <w:rsid w:val="00E87E35"/>
    <w:rsid w:val="00ED7AD7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ogosian@chemeng.upatras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Μπογοσιάν Σογομών</cp:lastModifiedBy>
  <cp:revision>4</cp:revision>
  <cp:lastPrinted>2022-02-08T14:08:00Z</cp:lastPrinted>
  <dcterms:created xsi:type="dcterms:W3CDTF">2022-02-08T14:05:00Z</dcterms:created>
  <dcterms:modified xsi:type="dcterms:W3CDTF">2022-02-08T15:11:00Z</dcterms:modified>
</cp:coreProperties>
</file>