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20"/>
        <w:jc w:val="center"/>
        <w:rPr>
          <w:rStyle w:val="Hps"/>
          <w:rFonts w:cs="Times New Roman"/>
          <w:b/>
          <w:b/>
          <w:szCs w:val="24"/>
          <w:lang w:val="el-GR"/>
        </w:rPr>
      </w:pPr>
      <w:r>
        <w:rPr>
          <w:rFonts w:cs="Times New Roman"/>
          <w:b/>
          <w:szCs w:val="24"/>
          <w:lang w:val="el-GR"/>
        </w:rPr>
      </w:r>
    </w:p>
    <w:p>
      <w:pPr>
        <w:pStyle w:val="Normal"/>
        <w:spacing w:lineRule="auto" w:line="240" w:before="0" w:after="120"/>
        <w:jc w:val="center"/>
        <w:rPr>
          <w:rFonts w:cs="Times New Roman"/>
          <w:b/>
          <w:b/>
          <w:caps/>
          <w:szCs w:val="24"/>
          <w:lang w:val="en-US"/>
        </w:rPr>
      </w:pPr>
      <w:r>
        <w:rPr>
          <w:rFonts w:cs="Times New Roman"/>
          <w:b/>
          <w:caps/>
          <w:szCs w:val="24"/>
          <w:lang w:val="en-US"/>
        </w:rPr>
        <w:t>Interfacial interaction of P</w:t>
      </w:r>
      <w:r>
        <w:rPr>
          <w:rFonts w:cs="Times New Roman"/>
          <w:b/>
          <w:szCs w:val="24"/>
          <w:lang w:val="en-US"/>
        </w:rPr>
        <w:t>d</w:t>
      </w:r>
      <w:r>
        <w:rPr>
          <w:rFonts w:cs="Times New Roman"/>
          <w:b/>
          <w:caps/>
          <w:szCs w:val="24"/>
          <w:lang w:val="en-US"/>
        </w:rPr>
        <w:t xml:space="preserve"> with </w:t>
      </w:r>
      <w:r>
        <w:rPr>
          <w:rFonts w:cs="Times New Roman"/>
          <w:b/>
          <w:bCs/>
          <w:caps/>
          <w:szCs w:val="24"/>
          <w:lang w:val="en-US"/>
        </w:rPr>
        <w:t>M</w:t>
      </w:r>
      <w:r>
        <w:rPr>
          <w:rFonts w:cs="Times New Roman"/>
          <w:b/>
          <w:bCs/>
          <w:szCs w:val="24"/>
          <w:lang w:val="en-US"/>
        </w:rPr>
        <w:t>o</w:t>
      </w:r>
      <w:r>
        <w:rPr>
          <w:rFonts w:cs="Times New Roman"/>
          <w:b/>
          <w:bCs/>
          <w:caps/>
          <w:szCs w:val="24"/>
          <w:lang w:val="en-US"/>
        </w:rPr>
        <w:t>S</w:t>
      </w:r>
      <w:r>
        <w:rPr>
          <w:rFonts w:cs="Times New Roman"/>
          <w:b/>
          <w:bCs/>
          <w:caps/>
          <w:szCs w:val="24"/>
          <w:vertAlign w:val="subscript"/>
          <w:lang w:val="en-US"/>
        </w:rPr>
        <w:t>2</w:t>
      </w:r>
      <w:r>
        <w:rPr>
          <w:rFonts w:cs="Times New Roman"/>
          <w:b/>
          <w:bCs/>
          <w:caps/>
          <w:szCs w:val="24"/>
          <w:lang w:val="en-US"/>
        </w:rPr>
        <w:t xml:space="preserve"> and – M</w:t>
      </w:r>
      <w:r>
        <w:rPr>
          <w:rFonts w:cs="Times New Roman"/>
          <w:b/>
          <w:bCs/>
          <w:szCs w:val="24"/>
          <w:lang w:val="en-US"/>
        </w:rPr>
        <w:t>o</w:t>
      </w:r>
      <w:r>
        <w:rPr>
          <w:rFonts w:cs="Times New Roman"/>
          <w:b/>
          <w:bCs/>
          <w:caps/>
          <w:szCs w:val="24"/>
          <w:lang w:val="en-US"/>
        </w:rPr>
        <w:t>S</w:t>
      </w:r>
      <w:r>
        <w:rPr>
          <w:rFonts w:cs="Times New Roman"/>
          <w:b/>
          <w:bCs/>
          <w:caps/>
          <w:szCs w:val="24"/>
          <w:vertAlign w:val="subscript"/>
          <w:lang w:val="en-US"/>
        </w:rPr>
        <w:t>2</w:t>
      </w:r>
      <w:r>
        <w:rPr>
          <w:rFonts w:cs="Times New Roman"/>
          <w:b/>
          <w:bCs/>
          <w:caps/>
          <w:szCs w:val="24"/>
          <w:lang w:val="en-US"/>
        </w:rPr>
        <w:t xml:space="preserve"> graphene hybrids</w:t>
      </w:r>
      <w:r>
        <w:rPr>
          <w:rFonts w:cs="Times New Roman"/>
          <w:b/>
          <w:caps/>
          <w:szCs w:val="24"/>
          <w:lang w:val="en-US"/>
        </w:rPr>
        <w:t xml:space="preserve"> </w:t>
      </w:r>
    </w:p>
    <w:p>
      <w:pPr>
        <w:pStyle w:val="Normal"/>
        <w:tabs>
          <w:tab w:val="clear" w:pos="720"/>
          <w:tab w:val="left" w:pos="-1094" w:leader="none"/>
          <w:tab w:val="left" w:pos="-720" w:leader="none"/>
          <w:tab w:val="left" w:pos="0" w:leader="none"/>
          <w:tab w:val="left" w:pos="328" w:leader="none"/>
          <w:tab w:val="left" w:pos="90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190" w:leader="none"/>
        </w:tabs>
        <w:spacing w:lineRule="auto" w:line="240" w:before="60" w:after="0"/>
        <w:ind w:right="424" w:hanging="0"/>
        <w:jc w:val="center"/>
        <w:rPr>
          <w:rFonts w:eastAsia="Times New Roman" w:cs="Times New Roman"/>
          <w:b/>
          <w:b/>
          <w:caps/>
          <w:color w:val="auto"/>
          <w:szCs w:val="24"/>
          <w:lang w:val="en-US" w:eastAsia="el-GR"/>
        </w:rPr>
      </w:pPr>
      <w:r>
        <w:rPr>
          <w:rFonts w:eastAsia="Times New Roman" w:cs="Times New Roman"/>
          <w:b/>
          <w:caps/>
          <w:color w:val="auto"/>
          <w:szCs w:val="24"/>
          <w:lang w:val="en-US" w:eastAsia="el-GR"/>
        </w:rPr>
      </w:r>
    </w:p>
    <w:p>
      <w:pPr>
        <w:pStyle w:val="Normal"/>
        <w:spacing w:lineRule="auto" w:line="240" w:before="0" w:after="120"/>
        <w:jc w:val="center"/>
        <w:rPr>
          <w:rFonts w:cs="Times New Roman"/>
          <w:b/>
          <w:b/>
          <w:szCs w:val="24"/>
          <w:vertAlign w:val="superscript"/>
          <w:lang w:val="en-US"/>
        </w:rPr>
      </w:pPr>
      <w:r>
        <w:rPr>
          <w:rFonts w:cs="Times New Roman"/>
          <w:b/>
          <w:szCs w:val="24"/>
          <w:lang w:val="en-US"/>
        </w:rPr>
        <w:t xml:space="preserve">Dimitris Tsikritzis </w:t>
      </w:r>
      <w:r>
        <w:rPr>
          <w:rFonts w:cs="Times New Roman"/>
          <w:b/>
          <w:szCs w:val="24"/>
          <w:vertAlign w:val="superscript"/>
          <w:lang w:val="en-US"/>
        </w:rPr>
        <w:t>1,2</w:t>
      </w:r>
      <w:r>
        <w:rPr>
          <w:rFonts w:cs="Times New Roman"/>
          <w:b/>
          <w:szCs w:val="24"/>
          <w:lang w:val="en-US"/>
        </w:rPr>
        <w:t xml:space="preserve">, Nataliya Tsud </w:t>
      </w:r>
      <w:r>
        <w:rPr>
          <w:rFonts w:cs="Times New Roman"/>
          <w:b/>
          <w:szCs w:val="24"/>
          <w:vertAlign w:val="superscript"/>
          <w:lang w:val="en-US"/>
        </w:rPr>
        <w:t>3</w:t>
      </w:r>
      <w:r>
        <w:rPr>
          <w:rFonts w:cs="Times New Roman"/>
          <w:b/>
          <w:szCs w:val="24"/>
          <w:lang w:val="en-US"/>
        </w:rPr>
        <w:t xml:space="preserve">, Tomáš Skála </w:t>
      </w:r>
      <w:r>
        <w:rPr>
          <w:rFonts w:cs="Times New Roman"/>
          <w:b/>
          <w:szCs w:val="24"/>
          <w:vertAlign w:val="superscript"/>
          <w:lang w:val="en-US"/>
        </w:rPr>
        <w:t>3</w:t>
      </w:r>
      <w:r>
        <w:rPr>
          <w:rFonts w:cs="Times New Roman"/>
          <w:b/>
          <w:szCs w:val="24"/>
          <w:lang w:val="en-US"/>
        </w:rPr>
        <w:t xml:space="preserve">, Labrini Sygellou </w:t>
      </w:r>
      <w:r>
        <w:rPr>
          <w:rFonts w:cs="Times New Roman"/>
          <w:b/>
          <w:szCs w:val="24"/>
          <w:vertAlign w:val="superscript"/>
          <w:lang w:val="en-US"/>
        </w:rPr>
        <w:t>4*</w:t>
      </w:r>
    </w:p>
    <w:p>
      <w:pPr>
        <w:pStyle w:val="ListParagraph"/>
        <w:spacing w:lineRule="auto" w:line="240"/>
        <w:jc w:val="center"/>
        <w:rPr>
          <w:rFonts w:cs="Times New Roman"/>
          <w:szCs w:val="24"/>
          <w:lang w:val="en-US"/>
        </w:rPr>
      </w:pPr>
      <w:r>
        <w:rPr>
          <w:rFonts w:cs="Times New Roman"/>
          <w:szCs w:val="24"/>
          <w:vertAlign w:val="superscript"/>
          <w:lang w:val="en-US"/>
        </w:rPr>
        <w:t>1</w:t>
      </w:r>
      <w:r>
        <w:rPr>
          <w:rFonts w:cs="Times New Roman"/>
          <w:szCs w:val="24"/>
          <w:lang w:val="en-US"/>
        </w:rPr>
        <w:t>Department of Electrical &amp; Computer Engineering, Hellenic Mediterranean University, Heraklion 71410, Crete, Greece</w:t>
      </w:r>
    </w:p>
    <w:p>
      <w:pPr>
        <w:pStyle w:val="ListParagraph"/>
        <w:spacing w:lineRule="auto" w:line="240"/>
        <w:jc w:val="center"/>
        <w:rPr>
          <w:rFonts w:cs="Times New Roman"/>
          <w:iCs/>
          <w:szCs w:val="24"/>
          <w:lang w:val="en-US"/>
        </w:rPr>
      </w:pPr>
      <w:r>
        <w:rPr>
          <w:rFonts w:cs="Times New Roman"/>
          <w:iCs/>
          <w:szCs w:val="24"/>
          <w:vertAlign w:val="superscript"/>
          <w:lang w:val="en-US"/>
        </w:rPr>
        <w:t>2</w:t>
      </w:r>
      <w:r>
        <w:rPr>
          <w:rFonts w:cs="Times New Roman"/>
          <w:iCs/>
          <w:szCs w:val="24"/>
          <w:lang w:val="en-US"/>
        </w:rPr>
        <w:t xml:space="preserve"> Institute of Emerging Technologies (i-EMERGE) of HMU Research Center, Heraklion 71410, Crete, Greece</w:t>
      </w:r>
    </w:p>
    <w:p>
      <w:pPr>
        <w:pStyle w:val="ListParagraph"/>
        <w:spacing w:lineRule="auto" w:line="240"/>
        <w:jc w:val="center"/>
        <w:rPr>
          <w:rFonts w:cs="Times New Roman"/>
          <w:iCs/>
          <w:szCs w:val="24"/>
          <w:lang w:val="en-US"/>
        </w:rPr>
      </w:pPr>
      <w:r>
        <w:rPr>
          <w:rFonts w:cs="Times New Roman"/>
          <w:iCs/>
          <w:szCs w:val="24"/>
          <w:vertAlign w:val="superscript"/>
          <w:lang w:val="en-US"/>
        </w:rPr>
        <w:t>3</w:t>
      </w:r>
      <w:r>
        <w:rPr>
          <w:rFonts w:cs="Times New Roman"/>
          <w:iCs/>
          <w:szCs w:val="24"/>
          <w:lang w:val="en-US"/>
        </w:rPr>
        <w:t xml:space="preserve"> Charles University, Faculty of Mathematics and Physics, Department of Surface and Plasma Science, V Holešovičkách 2, Prague, 18000, Czech Republic.</w:t>
      </w:r>
    </w:p>
    <w:p>
      <w:pPr>
        <w:pStyle w:val="ListParagraph"/>
        <w:spacing w:lineRule="auto" w:line="240"/>
        <w:jc w:val="center"/>
        <w:rPr>
          <w:rFonts w:cs="Times New Roman"/>
          <w:szCs w:val="24"/>
          <w:lang w:val="en-US"/>
        </w:rPr>
      </w:pPr>
      <w:r>
        <w:rPr>
          <w:rFonts w:cs="Times New Roman"/>
          <w:szCs w:val="24"/>
          <w:vertAlign w:val="superscript"/>
          <w:lang w:val="en-US"/>
        </w:rPr>
        <w:t>4</w:t>
      </w:r>
      <w:r>
        <w:rPr>
          <w:rFonts w:cs="Times New Roman"/>
          <w:szCs w:val="24"/>
          <w:lang w:val="en-US"/>
        </w:rPr>
        <w:t> </w:t>
      </w:r>
      <w:bookmarkStart w:id="0" w:name="__DdeLink__257_988986725"/>
      <w:r>
        <w:rPr>
          <w:rFonts w:cs="Times New Roman"/>
          <w:szCs w:val="24"/>
          <w:lang w:val="en-US"/>
        </w:rPr>
        <w:t>Institute of Chemical Engineering Sciences (ICE-HT), Foundation of Research and Technology, Hellas</w:t>
      </w:r>
      <w:bookmarkEnd w:id="0"/>
      <w:r>
        <w:rPr>
          <w:rFonts w:cs="Times New Roman"/>
          <w:szCs w:val="24"/>
          <w:lang w:val="en-US"/>
        </w:rPr>
        <w:t>, P.O. Box 1414, 26504 Rio Patras, Greece</w:t>
      </w:r>
    </w:p>
    <w:p>
      <w:pPr>
        <w:pStyle w:val="ListParagraph"/>
        <w:spacing w:lineRule="auto" w:line="240" w:before="0" w:after="200"/>
        <w:ind w:left="0" w:hanging="0"/>
        <w:jc w:val="center"/>
        <w:rPr/>
      </w:pPr>
      <w:r>
        <w:rPr>
          <w:rFonts w:cs="Times New Roman"/>
          <w:i/>
          <w:szCs w:val="24"/>
          <w:lang w:val="en-US"/>
        </w:rPr>
        <w:t xml:space="preserve">* </w:t>
      </w:r>
      <w:hyperlink r:id="rId2">
        <w:r>
          <w:rPr>
            <w:rStyle w:val="ListLabel1"/>
            <w:rFonts w:cs="Times New Roman"/>
            <w:i/>
            <w:color w:val="0000FF" w:themeColor="hyperlink"/>
            <w:szCs w:val="24"/>
            <w:u w:val="single"/>
            <w:lang w:val="en-US"/>
          </w:rPr>
          <w:t>sygellou@iceht.forth.gr</w:t>
        </w:r>
      </w:hyperlink>
    </w:p>
    <w:p>
      <w:pPr>
        <w:pStyle w:val="Normal"/>
        <w:spacing w:lineRule="auto" w:line="240" w:before="0" w:after="120"/>
        <w:jc w:val="both"/>
        <w:rPr>
          <w:rStyle w:val="Hps"/>
          <w:rFonts w:cs="Times New Roman"/>
          <w:b/>
          <w:b/>
          <w:szCs w:val="24"/>
          <w:lang w:val="en-US"/>
        </w:rPr>
      </w:pPr>
      <w:r>
        <w:rPr>
          <w:rFonts w:cs="Times New Roman"/>
          <w:b/>
          <w:szCs w:val="24"/>
          <w:lang w:val="en-US"/>
        </w:rPr>
      </w:r>
    </w:p>
    <w:p>
      <w:pPr>
        <w:pStyle w:val="Normal"/>
        <w:spacing w:lineRule="auto" w:line="240" w:before="0" w:after="20"/>
        <w:jc w:val="both"/>
        <w:rPr>
          <w:rStyle w:val="Hps"/>
          <w:rFonts w:cs="Times New Roman"/>
          <w:b/>
          <w:b/>
          <w:szCs w:val="24"/>
          <w:lang w:val="en-US"/>
        </w:rPr>
      </w:pPr>
      <w:r>
        <w:rPr>
          <w:rStyle w:val="Hps"/>
          <w:rFonts w:cs="Times New Roman"/>
          <w:b/>
          <w:szCs w:val="24"/>
          <w:lang w:val="en-US"/>
        </w:rPr>
        <w:t xml:space="preserve">ABSTRACT </w:t>
      </w:r>
    </w:p>
    <w:p>
      <w:pPr>
        <w:pStyle w:val="Normal"/>
        <w:spacing w:lineRule="auto" w:line="240" w:before="0" w:after="20"/>
        <w:jc w:val="both"/>
        <w:rPr/>
      </w:pPr>
      <w:r>
        <w:rPr>
          <w:rFonts w:cs="Calibri" w:cstheme="minorHAnsi"/>
          <w:szCs w:val="24"/>
          <w:lang w:val="en-US"/>
        </w:rPr>
        <w:t>Hybrids of transition metal dichalcogenides (TMDs) nanoparticles on carbon-based materials have attracted considerable attention because of their remarkable physical and catalytic properties and potential applications in future electronic devices due to high electric conductivity and increase active sites. The most studied 2D TMDs are the molybdenum disulfide (MoS</w:t>
      </w:r>
      <w:r>
        <w:rPr>
          <w:rFonts w:cs="Calibri" w:cstheme="minorHAnsi"/>
          <w:szCs w:val="24"/>
          <w:vertAlign w:val="subscript"/>
          <w:lang w:val="en-US"/>
        </w:rPr>
        <w:t>2</w:t>
      </w:r>
      <w:r>
        <w:rPr>
          <w:rFonts w:cs="Calibri" w:cstheme="minorHAnsi"/>
          <w:szCs w:val="24"/>
          <w:lang w:val="en-US"/>
        </w:rPr>
        <w:t>), titanium disulfide (TiS</w:t>
      </w:r>
      <w:r>
        <w:rPr>
          <w:rFonts w:cs="Calibri" w:cstheme="minorHAnsi"/>
          <w:szCs w:val="24"/>
          <w:vertAlign w:val="subscript"/>
          <w:lang w:val="en-US"/>
        </w:rPr>
        <w:t>2</w:t>
      </w:r>
      <w:r>
        <w:rPr>
          <w:rFonts w:cs="Calibri" w:cstheme="minorHAnsi"/>
          <w:szCs w:val="24"/>
          <w:lang w:val="en-US"/>
        </w:rPr>
        <w:t>), and tungsten disulfide (WS</w:t>
      </w:r>
      <w:r>
        <w:rPr>
          <w:rFonts w:cs="Calibri" w:cstheme="minorHAnsi"/>
          <w:szCs w:val="24"/>
          <w:vertAlign w:val="subscript"/>
          <w:lang w:val="en-US"/>
        </w:rPr>
        <w:t>2</w:t>
      </w:r>
      <w:r>
        <w:rPr>
          <w:rFonts w:cs="Calibri" w:cstheme="minorHAnsi"/>
          <w:szCs w:val="24"/>
          <w:lang w:val="en-US"/>
        </w:rPr>
        <w:t xml:space="preserve">) </w:t>
      </w:r>
      <w:r>
        <w:fldChar w:fldCharType="begin"/>
      </w:r>
      <w:r>
        <w:rPr/>
        <w:instrText>ADDIN CSL_CITATION {"citationItems":[{"id":"ITEM-1","itemData":{"DOI":"10.1126/science.1141483","ISSN":"0036-8075","author":[{"dropping-particle":"","family":"Jaramillo","given":"Thomas F.","non-dropping-particle":"","parse-names":false,"suffix":""},{"dropping-particle":"","family":"Jørgensen","given":"Kristina P.","non-dropping-particle":"","parse-names":false,"suffix":""},{"dropping-particle":"","family":"Bonde","given":"Jacob","non-dropping-particle":"","parse-names":false,"suffix":""},{"dropping-particle":"","family":"Nielsen","given":"Jane H.","non-dropping-particle":"","parse-names":false,"suffix":""},{"dropping-particle":"","family":"Horch","given":"Sebastian","non-dropping-particle":"","parse-names":false,"suffix":""},{"dropping-particle":"","family":"Chorkendorff","given":"Ib","non-dropping-particle":"","parse-names":false,"suffix":""}],"container-title":"Science","id":"ITEM-1","issue":"5834","issued":{"date-parts":[["2007","7","6"]]},"page":"100-102","title":"Identification of Active Edge Sites for Electrochemical H 2 Evolution from MoS 2 Nanocatalysts","type":"article-journal","volume":"317"},"uris":["http://www.mendeley.com/documents/?uuid=2a50bbf3-0a34-4ce0-ac54-a9e2d533da86"]},{"id":"ITEM-2","itemData":{"DOI":"10.1021/cs400384h","ISSN":"2155-5435","author":[{"dropping-particle":"","family":"Wu","given":"Zhuangzhi","non-dropping-particle":"","parse-names":false,"suffix":""},{"dropping-particle":"","family":"Fang","given":"Baizeng","non-dropping-particle":"","parse-names":false,"suffix":""},{"dropping-particle":"","family":"Wang","given":"Zhiping","non-dropping-particle":"","parse-names":false,"suffix":""},{"dropping-particle":"","family":"Wang","given":"Changlong","non-dropping-particle":"","parse-names":false,"suffix":""},{"dropping-particle":"","family":"Liu","given":"Zhihong","non-dropping-particle":"","parse-names":false,"suffix":""},{"dropping-particle":"","family":"Liu","given":"Fangyang","non-dropping-particle":"","parse-names":false,"suffix":""},{"dropping-particle":"","family":"Wang","given":"Wei","non-dropping-particle":"","parse-names":false,"suffix":""},{"dropping-particle":"","family":"Alfantazi","given":"Akram","non-dropping-particle":"","parse-names":false,"suffix":""},{"dropping-particle":"","family":"Wang","given":"Dezhi","non-dropping-particle":"","parse-names":false,"suffix":""},{"dropping-particle":"","family":"Wilkinson","given":"David P.","non-dropping-particle":"","parse-names":false,"suffix":""}],"container-title":"ACS Catalysis","id":"ITEM-2","issue":"9","issued":{"date-parts":[["2013","9","6"]]},"page":"2101-2107","title":"MoS 2 Nanosheets: A Designed Structure with High Active Site Density for the Hydrogen Evolution Reaction","type":"article-journal","volume":"3"},"uris":["http://www.mendeley.com/documents/?uuid=8953e96a-1957-4488-9a54-d98801101930"]},{"id":"ITEM-3","itemData":{"DOI":"10.1016/C2017-0-02937-3","ISBN":"9780128158890","author":[{"dropping-particle":"","family":"Hasan","given":"Nazmul Mohammad","non-dropping-particle":"","parse-names":false,"suffix":""},{"dropping-particle":"","family":"Nafiujjaman","given":"Nd","non-dropping-particle":"","parse-names":false,"suffix":""},{"dropping-particle":"","family":"Lee","given":"Yong-Kyu","non-dropping-particle":"","parse-names":false,"suffix":""}],"id":"ITEM-3","issued":{"date-parts":[["2019"]]},"number-of-pages":"87-104","publisher":"Elsevier","title":"Biomedical Applications of Graphene and 2D Nanomaterials","type":"book"},"uris":["http://www.mendeley.com/documents/?uuid=e6291a03-4b68-40b0-ab8d-8e8f035f6fd3"]}],"mendeley":{"formattedCitation":"[10–12]","plainTextFormattedCitation":"[10–12]","previouslyFormattedCitation":"[9–11]"},"properties":{"noteIndex":0},"schema":"https://github.com/citation-style-language/schema/raw/master/csl-citation.json"}</w:instrText>
      </w:r>
      <w:r>
        <w:rPr/>
        <w:fldChar w:fldCharType="separate"/>
      </w:r>
      <w:bookmarkStart w:id="1" w:name="__Fieldmark__61_988986725"/>
      <w:r>
        <w:rPr/>
      </w:r>
      <w:r>
        <w:rPr>
          <w:rFonts w:cs="Calibri" w:cstheme="minorHAnsi"/>
          <w:szCs w:val="24"/>
          <w:lang w:val="en-US"/>
        </w:rPr>
        <w:t>[1,2]</w:t>
      </w:r>
      <w:r>
        <w:rPr/>
      </w:r>
      <w:r>
        <w:rPr/>
        <w:fldChar w:fldCharType="end"/>
      </w:r>
      <w:bookmarkEnd w:id="1"/>
      <w:r>
        <w:rPr>
          <w:rFonts w:cs="Calibri" w:cstheme="minorHAnsi"/>
          <w:szCs w:val="24"/>
          <w:lang w:val="en-US"/>
        </w:rPr>
        <w:t>.  Nowadays, it has been observed that the presence of metallic atoms on MoS</w:t>
      </w:r>
      <w:r>
        <w:rPr>
          <w:rFonts w:cs="Calibri" w:cstheme="minorHAnsi"/>
          <w:szCs w:val="24"/>
          <w:vertAlign w:val="subscript"/>
          <w:lang w:val="en-US"/>
        </w:rPr>
        <w:t>2</w:t>
      </w:r>
      <w:r>
        <w:rPr>
          <w:rFonts w:cs="Calibri" w:cstheme="minorHAnsi"/>
          <w:szCs w:val="24"/>
          <w:lang w:val="en-US"/>
        </w:rPr>
        <w:t xml:space="preserve"> nanosheets leads to the transformation of MoS</w:t>
      </w:r>
      <w:r>
        <w:rPr>
          <w:rFonts w:cs="Calibri" w:cstheme="minorHAnsi"/>
          <w:szCs w:val="24"/>
          <w:vertAlign w:val="subscript"/>
          <w:lang w:val="en-US"/>
        </w:rPr>
        <w:t>2</w:t>
      </w:r>
      <w:r>
        <w:rPr>
          <w:rFonts w:cs="Calibri" w:cstheme="minorHAnsi"/>
          <w:szCs w:val="24"/>
          <w:lang w:val="en-US"/>
        </w:rPr>
        <w:t xml:space="preserve"> phase from the semiconducting 2H- to the metallic 1T-phase, resulting in lowering the charge transfer resistance and improving the catalytic performance </w:t>
      </w:r>
      <w:r>
        <w:fldChar w:fldCharType="begin"/>
      </w:r>
      <w:r>
        <w:rPr/>
        <w:instrText>ADDIN CSL_CITATION {"citationItems":[{"id":"ITEM-1","itemData":{"DOI":"10.1021/ja404523s","ISSN":"0002-7863","author":[{"dropping-particle":"","family":"Lukowski","given":"Mark A.","non-dropping-particle":"","parse-names":false,"suffix":""},{"dropping-particle":"","family":"Daniel","given":"Andrew S.","non-dropping-particle":"","parse-names":false,"suffix":""},{"dropping-particle":"","family":"Meng","given":"Fei","non-dropping-particle":"","parse-names":false,"suffix":""},{"dropping-particle":"","family":"Forticaux","given":"Audrey","non-dropping-particle":"","parse-names":false,"suffix":""},{"dropping-particle":"","family":"Li","given":"Linsen","non-dropping-particle":"","parse-names":false,"suffix":""},{"dropping-particle":"","family":"Jin","given":"Song","non-dropping-particle":"","parse-names":false,"suffix":""}],"container-title":"Journal of the American Chemical Society","id":"ITEM-1","issue":"28","issued":{"date-parts":[["2013","7","17"]]},"page":"10274-10277","title":"Enhanced Hydrogen Evolution Catalysis from Chemically Exfoliated Metallic MoS 2 Nanosheets","type":"article-journal","volume":"135"},"uris":["http://www.mendeley.com/documents/?uuid=e0493539-a3d3-49e8-8f7d-abbd086ff564"]}],"mendeley":{"formattedCitation":"[13]","plainTextFormattedCitation":"[13]","previouslyFormattedCitation":"[12]"},"properties":{"noteIndex":0},"schema":"https://github.com/citation-style-language/schema/raw/master/csl-citation.json"}</w:instrText>
      </w:r>
      <w:r>
        <w:rPr/>
        <w:fldChar w:fldCharType="separate"/>
      </w:r>
      <w:bookmarkStart w:id="2" w:name="__Fieldmark__76_988986725"/>
      <w:r>
        <w:rPr/>
      </w:r>
      <w:r>
        <w:rPr>
          <w:rFonts w:cs="Calibri" w:cstheme="minorHAnsi"/>
          <w:szCs w:val="24"/>
          <w:lang w:val="en-US"/>
        </w:rPr>
        <w:t>[3]</w:t>
      </w:r>
      <w:r>
        <w:rPr/>
      </w:r>
      <w:r>
        <w:rPr/>
        <w:fldChar w:fldCharType="end"/>
      </w:r>
      <w:bookmarkEnd w:id="2"/>
      <w:r>
        <w:rPr>
          <w:rFonts w:cs="Calibri" w:cstheme="minorHAnsi"/>
          <w:szCs w:val="24"/>
          <w:lang w:val="en-US"/>
        </w:rPr>
        <w:t xml:space="preserve">.  </w:t>
      </w:r>
      <w:r>
        <w:rPr>
          <w:rFonts w:cs="Calibri" w:cstheme="minorHAnsi"/>
          <w:color w:val="auto"/>
          <w:szCs w:val="24"/>
          <w:lang w:val="en-US"/>
        </w:rPr>
        <w:t>For example, it has been shown that f</w:t>
      </w:r>
      <w:r>
        <w:rPr>
          <w:rFonts w:cs="Calibri" w:cstheme="minorHAnsi"/>
          <w:szCs w:val="24"/>
          <w:lang w:val="en-US"/>
        </w:rPr>
        <w:t>unctionalization of MoS</w:t>
      </w:r>
      <w:r>
        <w:rPr>
          <w:rFonts w:cs="Calibri" w:cstheme="minorHAnsi"/>
          <w:szCs w:val="24"/>
          <w:vertAlign w:val="subscript"/>
          <w:lang w:val="en-US"/>
        </w:rPr>
        <w:t>2</w:t>
      </w:r>
      <w:r>
        <w:rPr>
          <w:rFonts w:cs="Calibri" w:cstheme="minorHAnsi"/>
          <w:szCs w:val="24"/>
          <w:lang w:val="en-US"/>
        </w:rPr>
        <w:t xml:space="preserve"> by metallic Pd atoms offers a route to the exceptional properties of the material for catalysis of HER </w:t>
      </w:r>
      <w:r>
        <w:fldChar w:fldCharType="begin"/>
      </w:r>
      <w:r>
        <w:rPr/>
        <w:instrText>ADDIN CSL_CITATION {"citationItems":[{"id":"ITEM-1","itemData":{"DOI":"10.1039/C5TA10337A","ISSN":"2050-7488","abstract":"A molybdenum disulfide/palladium nanodisk heterostructure was determined to be highly active toward the HER through DFT predictions and experimental verification.","author":[{"dropping-particle":"","family":"Qi","given":"Kun","non-dropping-particle":"","parse-names":false,"suffix":""},{"dropping-particle":"","family":"Yu","given":"Shansheng","non-dropping-particle":"","parse-names":false,"suffix":""},{"dropping-particle":"","family":"Wang","given":"Qiyu","non-dropping-particle":"","parse-names":false,"suffix":""},{"dropping-particle":"","family":"Zhang","given":"Wei","non-dropping-particle":"","parse-names":false,"suffix":""},{"dropping-particle":"","family":"Fan","given":"Jinchang","non-dropping-particle":"","parse-names":false,"suffix":""},{"dropping-particle":"","family":"Zheng","given":"Weitao","non-dropping-particle":"","parse-names":false,"suffix":""},{"dropping-particle":"","family":"Cui","given":"Xiaoqiang","non-dropping-particle":"","parse-names":false,"suffix":""}],"container-title":"Journal of Materials Chemistry A","id":"ITEM-1","issue":"11","issued":{"date-parts":[["2016"]]},"page":"4025-4031","title":"Decoration of the inert basal plane of defect-rich MoS 2 with Pd atoms for achieving Pt-similar HER activity","type":"article-journal","volume":"4"},"uris":["http://www.mendeley.com/documents/?uuid=bfbd462a-62f2-4356-b22a-cb6db3855357"]},{"id":"ITEM-2","itemData":{"DOI":"10.1016/j.jpowsour.2015.03.021","ISSN":"03787753","author":[{"dropping-particle":"","family":"Li","given":"B.B.","non-dropping-particle":"","parse-names":false,"suffix":""},{"dropping-particle":"","family":"Qiao","given":"S.Z.","non-dropping-particle":"","parse-names":false,"suffix":""},{"dropping-particle":"","family":"Zheng","given":"X.R.","non-dropping-particle":"","parse-names":false,"suffix":""},{"dropping-particle":"","family":"Yang","given":"X.J.","non-dropping-particle":"","parse-names":false,"suffix":""},{"dropping-particle":"","family":"Cui","given":"Z.D.","non-dropping-particle":"","parse-names":false,"suffix":""},{"dropping-particle":"","family":"Zhu","given":"S.L.","non-dropping-particle":"","parse-names":false,"suffix":""},{"dropping-particle":"","family":"Li","given":"Z.Y.","non-dropping-particle":"","parse-names":false,"suffix":""},{"dropping-particle":"","family":"Liang","given":"Y.Q.","non-dropping-particle":"","parse-names":false,"suffix":""}],"container-title":"Journal of Power Sources","id":"ITEM-2","issued":{"date-parts":[["2015","6"]]},"page":"68-76","title":"Pd coated MoS 2 nanoflowers for highly efficient hydrogen evolution reaction under irradiation","type":"article-journal","volume":"284"},"uris":["http://www.mendeley.com/documents/?uuid=088354f3-03f9-4e9c-b028-029caffe0744"]},{"id":"ITEM-3","itemData":{"DOI":"10.1038/s41467-018-04501-4","ISSN":"2041-1723","author":[{"dropping-particle":"","family":"Luo","given":"Zhaoyan","non-dropping-particle":"","parse-names":false,"suffix":""},{"dropping-particle":"","family":"Ouyang","given":"Yixin","non-dropping-particle":"","parse-names":false,"suffix":""},{"dropping-particle":"","family":"Zhang","given":"Hao","non-dropping-particle":"","parse-names":false,"suffix":""},{"dropping-particle":"","family":"Xiao","given":"Meiling","non-dropping-particle":"","parse-names":false,"suffix":""},{"dropping-particle":"","family":"Ge","given":"Junjie","non-dropping-particle":"","parse-names":false,"suffix":""},{"dropping-particle":"","family":"Jiang","given":"Zheng","non-dropping-particle":"","parse-names":false,"suffix":""},{"dropping-particle":"","family":"Wang","given":"Jinlan","non-dropping-particle":"","parse-names":false,"suffix":""},{"dropping-particle":"","family":"Tang","given":"Daiming","non-dropping-particle":"","parse-names":false,"suffix":""},{"dropping-particle":"","family":"Cao","given":"Xinzhong","non-dropping-particle":"","parse-names":false,"suffix":""},{"dropping-particle":"","family":"Liu","given":"Changpeng","non-dropping-particle":"","parse-names":false,"suffix":""},{"dropping-particle":"","family":"Xing","given":"Wei","non-dropping-particle":"","parse-names":false,"suffix":""}],"container-title":"Nature Communications","id":"ITEM-3","issue":"1","issued":{"date-parts":[["2018","12","29"]]},"page":"2120","title":"Chemically activating MoS2 via spontaneous atomic palladium interfacial doping towards efficient hydrogen evolution","type":"article-journal","volume":"9"},"uris":["http://www.mendeley.com/documents/?uuid=4779fab7-40ad-4aef-b662-785a1d12b6ed"]},{"id":"ITEM-4","itemData":{"DOI":"10.1007/s12274-016-1153-3","ISSN":"1998-0124","author":[{"dropping-particle":"","family":"Ye","given":"Wei","non-dropping-particle":"","parse-names":false,"suffix":""},{"dropping-particle":"","family":"Ren","given":"Chenhao","non-dropping-particle":"","parse-names":false,"suffix":""},{"dropping-particle":"","family":"Liu","given":"Daobin","non-dropping-particle":"","parse-names":false,"suffix":""},{"dropping-particle":"","family":"Wang","given":"Chengming","non-dropping-particle":"","parse-names":false,"suffix":""},{"dropping-particle":"","family":"Zhang","given":"Ning","non-dropping-particle":"","parse-names":false,"suffix":""},{"dropping-particle":"","family":"Yan","given":"Wensheng","non-dropping-particle":"","parse-names":false,"suffix":""},{"dropping-particle":"","family":"Song","given":"Li","non-dropping-particle":"","parse-names":false,"suffix":""},{"dropping-particle":"","family":"Xiong","given":"Yujie","non-dropping-particle":"","parse-names":false,"suffix":""}],"container-title":"Nano Research","id":"ITEM-4","issue":"9","issued":{"date-parts":[["2016","9","27"]]},"page":"2662-2671","title":"Maneuvering charge polarization and transport in 2H-MoS2 for enhanced electrocatalytic hydrogen evolution reaction","type":"article-journal","volume":"9"},"uris":["http://www.mendeley.com/documents/?uuid=edef3100-72a4-4402-a25b-f089071a10dd"]}],"mendeley":{"formattedCitation":"[19–22]","plainTextFormattedCitation":"[19–22]","previouslyFormattedCitation":"[18–21]"},"properties":{"noteIndex":0},"schema":"https://github.com/citation-style-language/schema/raw/master/csl-citation.json"}</w:instrText>
      </w:r>
      <w:r>
        <w:rPr/>
        <w:fldChar w:fldCharType="separate"/>
      </w:r>
      <w:bookmarkStart w:id="3" w:name="__Fieldmark__86_988986725"/>
      <w:r>
        <w:rPr/>
      </w:r>
      <w:r>
        <w:rPr>
          <w:rFonts w:cs="Calibri" w:cstheme="minorHAnsi"/>
          <w:szCs w:val="24"/>
          <w:lang w:val="en-US"/>
        </w:rPr>
        <w:t>[4]</w:t>
      </w:r>
      <w:r>
        <w:rPr/>
      </w:r>
      <w:r>
        <w:rPr/>
        <w:fldChar w:fldCharType="end"/>
      </w:r>
      <w:bookmarkEnd w:id="3"/>
      <w:r>
        <w:rPr>
          <w:rFonts w:cs="Calibri" w:cstheme="minorHAnsi"/>
          <w:szCs w:val="24"/>
          <w:lang w:val="en-US"/>
        </w:rPr>
        <w:t xml:space="preserve">. A drawback of the poor electric conductivity, which is known for many TMD materials, could be solved by combining the TMD nanoparticles with a conductive support such as graphite, carbon aerogels, reduced graphene oxide (rGO), carbon nanofibers, or carbon nanotubes (CNTs) </w:t>
      </w:r>
      <w:r>
        <w:fldChar w:fldCharType="begin"/>
      </w:r>
      <w:r>
        <w:rPr/>
        <w:instrText>ADDIN CSL_CITATION {"citationItems":[{"id":"ITEM-1","itemData":{"DOI":"10.1021/acssuschemeng.5b00700","ISSN":"2168-0485","author":[{"dropping-particle":"","family":"Zhang","given":"Youfang","non-dropping-particle":"","parse-names":false,"suffix":""},{"dropping-particle":"","family":"Zuo","given":"Lizeng","non-dropping-particle":"","parse-names":false,"suffix":""},{"dropping-particle":"","family":"Huang","given":"Yunpeng","non-dropping-particle":"","parse-names":false,"suffix":""},{"dropping-particle":"","family":"Zhang","given":"Longsheng","non-dropping-particle":"","parse-names":false,"suffix":""},{"dropping-particle":"","family":"Lai","given":"Feili","non-dropping-particle":"","parse-names":false,"suffix":""},{"dropping-particle":"","family":"Fan","given":"Wei","non-dropping-particle":"","parse-names":false,"suffix":""},{"dropping-particle":"","family":"Liu","given":"Tianxi","non-dropping-particle":"","parse-names":false,"suffix":""}],"container-title":"ACS Sustainable Chemistry &amp; Engineering","id":"ITEM-1","issue":"12","issued":{"date-parts":[["2015","12","7"]]},"page":"3140-3148","title":"In-Situ Growth of Few-Layered MoS 2 Nanosheets on Highly Porous Carbon Aerogel as Advanced Electrocatalysts for Hydrogen Evolution Reaction","type":"article-journal","volume":"3"},"uris":["http://www.mendeley.com/documents/?uuid=a81589d6-481a-4867-b23d-1d47da73bdf1"]},{"id":"ITEM-2","itemData":{"DOI":"10.1002/aenm.201600116","ISSN":"16146832","author":[{"dropping-particle":"","family":"Tang","given":"Yu-Jia","non-dropping-particle":"","parse-names":false,"suffix":""},{"dropping-particle":"","family":"Wang","given":"Yu","non-dropping-particle":"","parse-names":false,"suffix":""},{"dropping-particle":"","family":"Wang","given":"Xiao-Li","non-dropping-particle":"","parse-names":false,"suffix":""},{"dropping-particle":"","family":"Li","given":"Shun-Li","non-dropping-particle":"","parse-names":false,"suffix":""},{"dropping-particle":"","family":"Huang","given":"Wei","non-dropping-particle":"","parse-names":false,"suffix":""},{"dropping-particle":"","family":"Dong","given":"Long-Zhang","non-dropping-particle":"","parse-names":false,"suffix":""},{"dropping-particle":"","family":"Liu","given":"Chun-Hui","non-dropping-particle":"","parse-names":false,"suffix":""},{"dropping-particle":"","family":"Li","given":"Ya-Fei","non-dropping-particle":"","parse-names":false,"suffix":""},{"dropping-particle":"","family":"Lan","given":"Ya-Qian","non-dropping-particle":"","parse-names":false,"suffix":""}],"container-title":"Advanced Energy Materials","id":"ITEM-2","issue":"12","issued":{"date-parts":[["2016","6"]]},"page":"1600116","title":"Molybdenum Disulfide/Nitrogen-Doped Reduced Graphene Oxide Nanocomposite with Enlarged Interlayer Spacing for Electrocatalytic Hydrogen Evolution","type":"article-journal","volume":"6"},"uris":["http://www.mendeley.com/documents/?uuid=fa7745e9-9a0d-4748-907f-9db76bb27db2"]}],"mendeley":{"formattedCitation":"[14,15]","plainTextFormattedCitation":"[14,15]","previouslyFormattedCitation":"[13,14]"},"properties":{"noteIndex":0},"schema":"https://github.com/citation-style-language/schema/raw/master/csl-citation.json"}</w:instrText>
      </w:r>
      <w:r>
        <w:rPr/>
        <w:fldChar w:fldCharType="separate"/>
      </w:r>
      <w:bookmarkStart w:id="4" w:name="__Fieldmark__98_988986725"/>
      <w:r>
        <w:rPr/>
      </w:r>
      <w:r>
        <w:rPr>
          <w:rFonts w:cs="Calibri" w:cstheme="minorHAnsi"/>
          <w:szCs w:val="24"/>
          <w:lang w:val="en-US"/>
        </w:rPr>
        <w:t>[5]</w:t>
      </w:r>
      <w:r>
        <w:rPr/>
      </w:r>
      <w:r>
        <w:rPr/>
        <w:fldChar w:fldCharType="end"/>
      </w:r>
      <w:bookmarkEnd w:id="4"/>
      <w:r>
        <w:rPr>
          <w:rFonts w:cs="Calibri" w:cstheme="minorHAnsi"/>
          <w:szCs w:val="24"/>
          <w:lang w:val="en-US"/>
        </w:rPr>
        <w:t>.  The scope of the present study is to unravel the chemical interaction of Pd with MoS</w:t>
      </w:r>
      <w:r>
        <w:rPr>
          <w:rFonts w:cs="Calibri" w:cstheme="minorHAnsi"/>
          <w:szCs w:val="24"/>
          <w:vertAlign w:val="subscript"/>
          <w:lang w:val="en-US"/>
        </w:rPr>
        <w:t>2</w:t>
      </w:r>
      <w:r>
        <w:rPr>
          <w:rFonts w:cs="Calibri" w:cstheme="minorHAnsi"/>
          <w:szCs w:val="24"/>
          <w:lang w:val="en-US"/>
        </w:rPr>
        <w:t xml:space="preserve"> and MoS</w:t>
      </w:r>
      <w:r>
        <w:rPr>
          <w:rFonts w:cs="Calibri" w:cstheme="minorHAnsi"/>
          <w:szCs w:val="24"/>
          <w:vertAlign w:val="subscript"/>
          <w:lang w:val="en-US"/>
        </w:rPr>
        <w:t>2</w:t>
      </w:r>
      <w:r>
        <w:rPr>
          <w:rFonts w:cs="Calibri" w:cstheme="minorHAnsi"/>
          <w:szCs w:val="24"/>
          <w:lang w:val="en-US"/>
        </w:rPr>
        <w:t>–rGO composites. In particular, we elucidate the effect of rGO amount present in the hybrids towards the phase transition of MoS</w:t>
      </w:r>
      <w:r>
        <w:rPr>
          <w:rFonts w:cs="Calibri" w:cstheme="minorHAnsi"/>
          <w:szCs w:val="24"/>
          <w:vertAlign w:val="subscript"/>
          <w:lang w:val="en-US"/>
        </w:rPr>
        <w:t>2</w:t>
      </w:r>
      <w:r>
        <w:rPr>
          <w:rFonts w:cs="Calibri" w:cstheme="minorHAnsi"/>
          <w:szCs w:val="24"/>
          <w:lang w:val="en-US"/>
        </w:rPr>
        <w:t>. Pd was stepwisely deposited on MoS</w:t>
      </w:r>
      <w:r>
        <w:rPr>
          <w:rFonts w:cs="Calibri" w:cstheme="minorHAnsi"/>
          <w:szCs w:val="24"/>
          <w:vertAlign w:val="subscript"/>
          <w:lang w:val="en-US"/>
        </w:rPr>
        <w:t>2</w:t>
      </w:r>
      <w:r>
        <w:rPr>
          <w:rFonts w:cs="Calibri" w:cstheme="minorHAnsi"/>
          <w:szCs w:val="24"/>
          <w:lang w:val="en-US"/>
        </w:rPr>
        <w:t xml:space="preserve"> and MoS</w:t>
      </w:r>
      <w:r>
        <w:rPr>
          <w:rFonts w:cs="Calibri" w:cstheme="minorHAnsi"/>
          <w:szCs w:val="24"/>
          <w:vertAlign w:val="subscript"/>
          <w:lang w:val="en-US"/>
        </w:rPr>
        <w:t>2</w:t>
      </w:r>
      <w:r>
        <w:rPr>
          <w:rFonts w:cs="Calibri" w:cstheme="minorHAnsi"/>
          <w:szCs w:val="24"/>
          <w:lang w:val="en-US"/>
        </w:rPr>
        <w:t>–rGO substrates with different MoS</w:t>
      </w:r>
      <w:r>
        <w:rPr>
          <w:rFonts w:cs="Calibri" w:cstheme="minorHAnsi"/>
          <w:szCs w:val="24"/>
          <w:vertAlign w:val="subscript"/>
          <w:lang w:val="en-US"/>
        </w:rPr>
        <w:t>2</w:t>
      </w:r>
      <w:r>
        <w:rPr>
          <w:rFonts w:cs="Calibri" w:cstheme="minorHAnsi"/>
          <w:szCs w:val="24"/>
          <w:lang w:val="en-US"/>
        </w:rPr>
        <w:t xml:space="preserve"> and rGO hybrid’s ratio. Characterization with synchrotron radiation and X-ray photoelectron spectroscopies (XPS/SRPES) has been employed. These techniques enable non-destructive analysis of the depth profile. It was found that in the MoS</w:t>
      </w:r>
      <w:r>
        <w:rPr>
          <w:rFonts w:cs="Calibri" w:cstheme="minorHAnsi"/>
          <w:szCs w:val="24"/>
          <w:vertAlign w:val="subscript"/>
          <w:lang w:val="en-US"/>
        </w:rPr>
        <w:t>2</w:t>
      </w:r>
      <w:r>
        <w:rPr>
          <w:rFonts w:cs="Calibri" w:cstheme="minorHAnsi"/>
          <w:szCs w:val="24"/>
          <w:lang w:val="en-US"/>
        </w:rPr>
        <w:t>-rGO hybrids phase transition is promoted by rGO in the presence of Pd atoms, while in the case of the neat MoS</w:t>
      </w:r>
      <w:r>
        <w:rPr>
          <w:rFonts w:cs="Calibri" w:cstheme="minorHAnsi"/>
          <w:szCs w:val="24"/>
          <w:vertAlign w:val="subscript"/>
          <w:lang w:val="en-US"/>
        </w:rPr>
        <w:t xml:space="preserve">2 </w:t>
      </w:r>
      <w:r>
        <w:rPr>
          <w:rFonts w:cs="Calibri" w:cstheme="minorHAnsi"/>
          <w:szCs w:val="24"/>
          <w:lang w:val="en-US"/>
        </w:rPr>
        <w:t>the phase transition was limited</w:t>
      </w:r>
      <w:r>
        <w:rPr>
          <w:rFonts w:cs="Calibri" w:cstheme="minorHAnsi"/>
          <w:szCs w:val="24"/>
          <w:vertAlign w:val="subscript"/>
          <w:lang w:val="en-US"/>
        </w:rPr>
        <w:t>.</w:t>
      </w:r>
      <w:r>
        <w:rPr>
          <w:rFonts w:cs="Calibri" w:cstheme="minorHAnsi"/>
          <w:color w:val="auto"/>
          <w:szCs w:val="24"/>
          <w:lang w:val="en-US"/>
        </w:rPr>
        <w:t xml:space="preserve"> </w:t>
      </w:r>
      <w:r>
        <w:rPr>
          <w:rFonts w:cs="Calibri" w:cstheme="minorHAnsi"/>
          <w:szCs w:val="24"/>
          <w:lang w:val="en-US"/>
        </w:rPr>
        <w:t>Phase transition takes place in the MoS</w:t>
      </w:r>
      <w:r>
        <w:rPr>
          <w:rFonts w:cs="Calibri" w:cstheme="minorHAnsi"/>
          <w:szCs w:val="24"/>
          <w:vertAlign w:val="subscript"/>
          <w:lang w:val="en-US"/>
        </w:rPr>
        <w:t>2</w:t>
      </w:r>
      <w:r>
        <w:rPr>
          <w:rFonts w:cs="Calibri" w:cstheme="minorHAnsi"/>
          <w:szCs w:val="24"/>
          <w:lang w:val="en-US"/>
        </w:rPr>
        <w:t>-rGO hybrids via the edges of MoS</w:t>
      </w:r>
      <w:r>
        <w:rPr>
          <w:rFonts w:cs="Calibri" w:cstheme="minorHAnsi"/>
          <w:szCs w:val="24"/>
          <w:vertAlign w:val="subscript"/>
          <w:lang w:val="en-US"/>
        </w:rPr>
        <w:t>2</w:t>
      </w:r>
      <w:r>
        <w:rPr>
          <w:rFonts w:cs="Calibri" w:cstheme="minorHAnsi"/>
          <w:szCs w:val="24"/>
          <w:lang w:val="en-US"/>
        </w:rPr>
        <w:t xml:space="preserve"> with the rGO. This work gives an insight into development of 2D nanomaterials functionalized with different transition metals with promising applications potentially in catalysis, optoelectronics, and sensors.</w:t>
      </w:r>
    </w:p>
    <w:p>
      <w:pPr>
        <w:pStyle w:val="Normal"/>
        <w:spacing w:lineRule="auto" w:line="240" w:before="0" w:after="20"/>
        <w:jc w:val="both"/>
        <w:rPr>
          <w:rFonts w:cs="Times New Roman"/>
          <w:szCs w:val="24"/>
          <w:lang w:val="en-US"/>
        </w:rPr>
      </w:pPr>
      <w:r>
        <w:rPr>
          <w:rFonts w:cs="Times New Roman"/>
          <w:szCs w:val="24"/>
          <w:lang w:val="en-US"/>
        </w:rPr>
      </w:r>
    </w:p>
    <w:p>
      <w:pPr>
        <w:pStyle w:val="Normal"/>
        <w:spacing w:lineRule="auto" w:line="240" w:before="0" w:after="20"/>
        <w:jc w:val="both"/>
        <w:rPr>
          <w:rFonts w:cs="Times New Roman"/>
          <w:szCs w:val="24"/>
          <w:lang w:val="en-US"/>
        </w:rPr>
      </w:pPr>
      <w:r>
        <w:rPr>
          <w:rFonts w:cs="Times New Roman"/>
          <w:b/>
          <w:bCs/>
          <w:szCs w:val="24"/>
          <w:lang w:val="en-US"/>
        </w:rPr>
        <w:t xml:space="preserve">KEYWORDS: </w:t>
      </w:r>
      <w:r>
        <w:rPr>
          <w:rFonts w:cs="Times New Roman"/>
          <w:szCs w:val="24"/>
          <w:lang w:val="en-US"/>
        </w:rPr>
        <w:t>Molybdenum disulfide, reduced graphene oxide, phase transition, 1T-MoS</w:t>
      </w:r>
      <w:r>
        <w:rPr>
          <w:rFonts w:cs="Times New Roman"/>
          <w:szCs w:val="24"/>
          <w:vertAlign w:val="subscript"/>
          <w:lang w:val="en-US"/>
        </w:rPr>
        <w:t>2</w:t>
      </w:r>
      <w:r>
        <w:rPr>
          <w:rFonts w:cs="Times New Roman"/>
          <w:szCs w:val="24"/>
          <w:lang w:val="en-US"/>
        </w:rPr>
        <w:t>, 2H- MoS</w:t>
      </w:r>
      <w:r>
        <w:rPr>
          <w:rFonts w:cs="Times New Roman"/>
          <w:szCs w:val="24"/>
          <w:vertAlign w:val="subscript"/>
          <w:lang w:val="en-US"/>
        </w:rPr>
        <w:t>2</w:t>
      </w:r>
    </w:p>
    <w:p>
      <w:pPr>
        <w:pStyle w:val="Normal"/>
        <w:spacing w:lineRule="auto" w:line="240" w:before="0" w:after="20"/>
        <w:jc w:val="both"/>
        <w:rPr>
          <w:rFonts w:cs="Times New Roman"/>
          <w:b/>
          <w:b/>
          <w:bCs/>
          <w:szCs w:val="24"/>
          <w:lang w:val="en-US"/>
        </w:rPr>
      </w:pPr>
      <w:r>
        <w:rPr>
          <w:rFonts w:cs="Times New Roman"/>
          <w:b/>
          <w:bCs/>
          <w:szCs w:val="24"/>
          <w:lang w:val="en-US"/>
        </w:rPr>
      </w:r>
    </w:p>
    <w:p>
      <w:pPr>
        <w:pStyle w:val="Normal"/>
        <w:spacing w:lineRule="auto" w:line="240" w:before="0" w:after="20"/>
        <w:jc w:val="both"/>
        <w:rPr>
          <w:rFonts w:cs="Times New Roman"/>
          <w:b/>
          <w:b/>
          <w:bCs/>
          <w:szCs w:val="24"/>
          <w:lang w:val="en-US"/>
        </w:rPr>
      </w:pPr>
      <w:r>
        <w:rPr>
          <w:rFonts w:cs="Times New Roman"/>
          <w:b/>
          <w:bCs/>
          <w:szCs w:val="24"/>
          <w:lang w:val="en-US"/>
        </w:rPr>
        <w:t>REFERENCES</w:t>
      </w:r>
    </w:p>
    <w:p>
      <w:pPr>
        <w:pStyle w:val="Normal"/>
        <w:spacing w:lineRule="auto" w:line="240" w:before="0" w:after="20"/>
        <w:jc w:val="both"/>
        <w:rPr>
          <w:rFonts w:cs="Calibri" w:cstheme="minorHAnsi"/>
          <w:bCs/>
          <w:sz w:val="20"/>
          <w:szCs w:val="20"/>
          <w:lang w:val="en-US"/>
        </w:rPr>
      </w:pPr>
      <w:r>
        <w:rPr>
          <w:rStyle w:val="Hps"/>
          <w:rFonts w:cs="Calibri" w:cstheme="minorHAnsi"/>
          <w:bCs/>
          <w:sz w:val="20"/>
          <w:szCs w:val="20"/>
          <w:lang w:val="en-US"/>
        </w:rPr>
        <w:t xml:space="preserve">[1] </w:t>
      </w:r>
      <w:r>
        <w:rPr>
          <w:rFonts w:cs="Calibri" w:cstheme="minorHAnsi"/>
          <w:bCs/>
          <w:sz w:val="20"/>
          <w:szCs w:val="20"/>
          <w:lang w:val="en-US"/>
        </w:rPr>
        <w:t xml:space="preserve">T.F. Jaramillo, K.P. Jørgensen, J. Bonde, J.H. Nielsen, S. Horch, I. Chorkendorff, (2007) , </w:t>
      </w:r>
      <w:r>
        <w:rPr>
          <w:rFonts w:cs="Calibri" w:cstheme="minorHAnsi"/>
          <w:bCs/>
          <w:i/>
          <w:iCs/>
          <w:sz w:val="20"/>
          <w:szCs w:val="20"/>
          <w:lang w:val="en-US"/>
        </w:rPr>
        <w:t>Science</w:t>
      </w:r>
      <w:r>
        <w:rPr>
          <w:rFonts w:cs="Calibri" w:cstheme="minorHAnsi"/>
          <w:bCs/>
          <w:sz w:val="20"/>
          <w:szCs w:val="20"/>
          <w:lang w:val="en-US"/>
        </w:rPr>
        <w:t xml:space="preserve"> , 317, 100–102.</w:t>
      </w:r>
    </w:p>
    <w:p>
      <w:pPr>
        <w:pStyle w:val="Normal"/>
        <w:spacing w:lineRule="auto" w:line="240" w:before="0" w:after="0"/>
        <w:rPr>
          <w:rFonts w:cs="Calibri" w:cstheme="minorHAnsi"/>
          <w:bCs/>
          <w:sz w:val="20"/>
          <w:szCs w:val="20"/>
          <w:lang w:val="en-US"/>
        </w:rPr>
      </w:pPr>
      <w:r>
        <w:rPr>
          <w:rFonts w:cs="Calibri" w:cstheme="minorHAnsi"/>
          <w:bCs/>
          <w:sz w:val="20"/>
          <w:szCs w:val="20"/>
          <w:lang w:val="en-US"/>
        </w:rPr>
        <w:t xml:space="preserve">[2]Z. Wu, B. Fang, Z. Wang, C. Wang, Z. Liu, F. Liu, W. Wang, A. Alfantazi, D. Wang, D.P. Wilkinson, (2013) , </w:t>
      </w:r>
      <w:r>
        <w:rPr>
          <w:rFonts w:cs="Calibri" w:cstheme="minorHAnsi"/>
          <w:bCs/>
          <w:i/>
          <w:iCs/>
          <w:sz w:val="20"/>
          <w:szCs w:val="20"/>
          <w:lang w:val="en-US"/>
        </w:rPr>
        <w:t>ACS Catal.</w:t>
      </w:r>
      <w:r>
        <w:rPr>
          <w:rFonts w:cs="Calibri" w:cstheme="minorHAnsi"/>
          <w:bCs/>
          <w:sz w:val="20"/>
          <w:szCs w:val="20"/>
          <w:lang w:val="en-US"/>
        </w:rPr>
        <w:t xml:space="preserve"> 3, 2101–2107.</w:t>
      </w:r>
    </w:p>
    <w:p>
      <w:pPr>
        <w:pStyle w:val="Normal"/>
        <w:spacing w:lineRule="auto" w:line="240" w:before="0" w:after="0"/>
        <w:rPr>
          <w:rFonts w:cs="Calibri" w:cstheme="minorHAnsi"/>
          <w:sz w:val="20"/>
          <w:szCs w:val="20"/>
          <w:lang w:val="en-US"/>
        </w:rPr>
      </w:pPr>
      <w:r>
        <w:rPr>
          <w:rFonts w:cs="Calibri" w:cstheme="minorHAnsi"/>
          <w:bCs/>
          <w:sz w:val="20"/>
          <w:szCs w:val="20"/>
          <w:lang w:val="en-US"/>
        </w:rPr>
        <w:t>[3]</w:t>
      </w:r>
      <w:r>
        <w:rPr>
          <w:rFonts w:cs="Calibri" w:cstheme="minorHAnsi"/>
          <w:sz w:val="20"/>
          <w:szCs w:val="20"/>
          <w:lang w:val="en-US"/>
        </w:rPr>
        <w:t xml:space="preserve"> M.A. Lukowski, A.S. Daniel, F. Meng, A. Forticaux, L. Li, S. Jin, (2013),  </w:t>
      </w:r>
      <w:r>
        <w:rPr>
          <w:rFonts w:cs="Calibri" w:cstheme="minorHAnsi"/>
          <w:i/>
          <w:iCs/>
          <w:sz w:val="20"/>
          <w:szCs w:val="20"/>
          <w:lang w:val="en-US"/>
        </w:rPr>
        <w:t>J. Am. Chem. Soc.</w:t>
      </w:r>
      <w:r>
        <w:rPr>
          <w:rFonts w:cs="Calibri" w:cstheme="minorHAnsi"/>
          <w:sz w:val="20"/>
          <w:szCs w:val="20"/>
          <w:lang w:val="en-US"/>
        </w:rPr>
        <w:t xml:space="preserve"> 135 10274–10277. </w:t>
      </w:r>
    </w:p>
    <w:p>
      <w:pPr>
        <w:pStyle w:val="Normal"/>
        <w:spacing w:lineRule="auto" w:line="240" w:before="0" w:after="0"/>
        <w:rPr>
          <w:rFonts w:cs="Calibri" w:cstheme="minorHAnsi"/>
          <w:sz w:val="20"/>
          <w:szCs w:val="20"/>
          <w:lang w:val="en-US"/>
        </w:rPr>
      </w:pPr>
      <w:r>
        <w:rPr>
          <w:rFonts w:cs="Calibri" w:cstheme="minorHAnsi"/>
          <w:sz w:val="20"/>
          <w:szCs w:val="20"/>
          <w:lang w:val="en-US"/>
        </w:rPr>
        <w:t>[4]</w:t>
      </w:r>
      <w:r>
        <w:rPr>
          <w:rFonts w:cs="Calibri" w:cstheme="minorHAnsi"/>
          <w:color w:val="auto"/>
          <w:sz w:val="20"/>
          <w:szCs w:val="20"/>
          <w:lang w:val="en-US"/>
        </w:rPr>
        <w:t xml:space="preserve"> </w:t>
      </w:r>
      <w:r>
        <w:rPr>
          <w:rFonts w:cs="Calibri" w:cstheme="minorHAnsi"/>
          <w:sz w:val="20"/>
          <w:szCs w:val="20"/>
          <w:lang w:val="en-US"/>
        </w:rPr>
        <w:t xml:space="preserve">B.B. Li, S.Z. Qiao, X.R. Zheng, X.J. Yang, Z.D. Cui, S.L. Zhu, Z.Y. Li, Y.Q. Liang,  (2015), </w:t>
      </w:r>
      <w:r>
        <w:rPr>
          <w:rFonts w:cs="Calibri" w:cstheme="minorHAnsi"/>
          <w:i/>
          <w:iCs/>
          <w:sz w:val="20"/>
          <w:szCs w:val="20"/>
          <w:lang w:val="en-US"/>
        </w:rPr>
        <w:t>J. Power Sources,</w:t>
      </w:r>
      <w:r>
        <w:rPr>
          <w:rFonts w:cs="Calibri" w:cstheme="minorHAnsi"/>
          <w:sz w:val="20"/>
          <w:szCs w:val="20"/>
          <w:lang w:val="en-US"/>
        </w:rPr>
        <w:t xml:space="preserve"> 284 68–76. </w:t>
      </w:r>
    </w:p>
    <w:p>
      <w:pPr>
        <w:pStyle w:val="Normal"/>
        <w:spacing w:lineRule="auto" w:line="240" w:before="0" w:after="0"/>
        <w:rPr>
          <w:rFonts w:cs="Calibri" w:cstheme="minorHAnsi"/>
          <w:sz w:val="20"/>
          <w:szCs w:val="20"/>
          <w:lang w:val="en-US"/>
        </w:rPr>
      </w:pPr>
      <w:r>
        <w:rPr>
          <w:rFonts w:cs="Calibri" w:cstheme="minorHAnsi"/>
          <w:sz w:val="20"/>
          <w:szCs w:val="20"/>
          <w:lang w:val="en-US"/>
        </w:rPr>
        <w:t xml:space="preserve">[5] Y. Zhang, L. Zuo, Y. Huang, L. Zhang, F. Lai, W. Fan, T. Liu, (2015), </w:t>
      </w:r>
      <w:r>
        <w:rPr>
          <w:rFonts w:cs="Calibri" w:cstheme="minorHAnsi"/>
          <w:i/>
          <w:iCs/>
          <w:sz w:val="20"/>
          <w:szCs w:val="20"/>
          <w:lang w:val="en-US"/>
        </w:rPr>
        <w:t>ACS Sustain. Chem. Eng.</w:t>
      </w:r>
      <w:r>
        <w:rPr>
          <w:rFonts w:cs="Calibri" w:cstheme="minorHAnsi"/>
          <w:sz w:val="20"/>
          <w:szCs w:val="20"/>
          <w:lang w:val="en-US"/>
        </w:rPr>
        <w:t xml:space="preserve"> 3 3140–3148.</w:t>
      </w:r>
    </w:p>
    <w:p>
      <w:pPr>
        <w:pStyle w:val="Normal"/>
        <w:spacing w:lineRule="auto" w:line="240" w:before="0" w:after="20"/>
        <w:jc w:val="both"/>
        <w:rPr/>
      </w:pPr>
      <w:r>
        <w:rPr/>
      </w:r>
    </w:p>
    <w:sectPr>
      <w:headerReference w:type="default" r:id="rId3"/>
      <w:footerReference w:type="default" r:id="rId4"/>
      <w:type w:val="nextPage"/>
      <w:pgSz w:w="11906" w:h="16838"/>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Bookman Old Style">
    <w:charset w:val="00"/>
    <w:family w:val="roman"/>
    <w:pitch w:val="variable"/>
  </w:font>
  <w:font w:name="Tahoma">
    <w:charset w:val="00"/>
    <w:family w:val="roman"/>
    <w:pitch w:val="variable"/>
  </w:font>
  <w:font w:name="Liberation Sans">
    <w:altName w:val="Arial"/>
    <w:charset w:val="00"/>
    <w:family w:val="swiss"/>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53431838"/>
    </w:sdtPr>
    <w:sdtContent>
      <w:p>
        <w:pPr>
          <w:pStyle w:val="Footer"/>
          <w:rPr/>
        </w:pPr>
        <w:r>
          <w:rPr>
            <w:b/>
            <w:bCs/>
            <w:sz w:val="18"/>
            <w:szCs w:val="16"/>
          </w:rPr>
          <w:fldChar w:fldCharType="begin"/>
        </w:r>
        <w:r>
          <w:rPr>
            <w:sz w:val="18"/>
            <w:b/>
            <w:szCs w:val="16"/>
            <w:bCs/>
          </w:rPr>
          <w:instrText> PAGE </w:instrText>
        </w:r>
        <w:r>
          <w:rPr>
            <w:sz w:val="18"/>
            <w:b/>
            <w:szCs w:val="16"/>
            <w:bCs/>
          </w:rPr>
          <w:fldChar w:fldCharType="separate"/>
        </w:r>
        <w:r>
          <w:rPr>
            <w:sz w:val="18"/>
            <w:b/>
            <w:szCs w:val="16"/>
            <w:bCs/>
          </w:rPr>
          <w:t>2</w:t>
        </w:r>
        <w:r>
          <w:rPr>
            <w:sz w:val="18"/>
            <w:b/>
            <w:szCs w:val="16"/>
            <w:bCs/>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4" w:space="1" w:color="000000"/>
      </w:pBdr>
      <w:tabs>
        <w:tab w:val="clear" w:pos="8306"/>
        <w:tab w:val="center" w:pos="4153" w:leader="none"/>
        <w:tab w:val="right" w:pos="9630" w:leader="none"/>
      </w:tabs>
      <w:rPr>
        <w:rFonts w:cs="Times New Roman"/>
        <w:b/>
        <w:b/>
        <w:szCs w:val="24"/>
        <w:lang w:val="el-GR"/>
      </w:rPr>
    </w:pPr>
    <w:r>
      <w:rPr>
        <w:rFonts w:cs="Times New Roman"/>
        <w:b/>
        <w:sz w:val="18"/>
        <w:szCs w:val="18"/>
        <w:lang w:val="el-GR"/>
      </w:rPr>
      <w:t>13</w:t>
    </w:r>
    <w:r>
      <w:rPr>
        <w:rFonts w:cs="Times New Roman"/>
        <w:b/>
        <w:sz w:val="18"/>
        <w:szCs w:val="18"/>
        <w:vertAlign w:val="superscript"/>
        <w:lang w:val="en-US"/>
      </w:rPr>
      <w:t>o</w:t>
    </w:r>
    <w:r>
      <w:rPr>
        <w:rFonts w:cs="Times New Roman"/>
        <w:b/>
        <w:sz w:val="18"/>
        <w:szCs w:val="18"/>
        <w:lang w:val="el-GR"/>
      </w:rPr>
      <w:t xml:space="preserve"> Πανελλήνιο Επιστημονικό Συνέδριο Χημικής Μηχανικής</w:t>
    </w:r>
    <w:r>
      <w:rPr>
        <w:rFonts w:cs="Times New Roman"/>
        <w:b/>
        <w:szCs w:val="24"/>
        <w:lang w:val="el-GR"/>
      </w:rPr>
      <w:tab/>
      <w:t xml:space="preserve">      </w:t>
    </w:r>
    <w:r>
      <w:rPr>
        <w:rFonts w:cs="Times New Roman"/>
        <w:b/>
        <w:sz w:val="18"/>
        <w:szCs w:val="18"/>
        <w:lang w:val="el-GR"/>
      </w:rPr>
      <w:t>Πάτρα, 2-4 Ιουνίου 2022</w:t>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937b1"/>
    <w:pPr>
      <w:widowControl/>
      <w:bidi w:val="0"/>
      <w:spacing w:lineRule="auto" w:line="276" w:before="0" w:after="200"/>
      <w:jc w:val="left"/>
    </w:pPr>
    <w:rPr>
      <w:rFonts w:ascii="Calibri" w:hAnsi="Calibri" w:eastAsia="Calibri" w:cs=""/>
      <w:color w:val="000000" w:themeColor="text1"/>
      <w:kern w:val="0"/>
      <w:sz w:val="24"/>
      <w:szCs w:val="22"/>
      <w:lang w:val="en-GB" w:eastAsia="en-US" w:bidi="ar-SA"/>
    </w:rPr>
  </w:style>
  <w:style w:type="character" w:styleId="DefaultParagraphFont" w:default="1">
    <w:name w:val="Default Paragraph Font"/>
    <w:uiPriority w:val="1"/>
    <w:unhideWhenUsed/>
    <w:qFormat/>
    <w:rPr/>
  </w:style>
  <w:style w:type="character" w:styleId="InternetLink">
    <w:name w:val="Internet Link"/>
    <w:basedOn w:val="DefaultParagraphFont"/>
    <w:uiPriority w:val="99"/>
    <w:unhideWhenUsed/>
    <w:rsid w:val="002937b1"/>
    <w:rPr>
      <w:color w:val="0000FF" w:themeColor="hyperlink"/>
      <w:u w:val="single"/>
    </w:rPr>
  </w:style>
  <w:style w:type="character" w:styleId="Char" w:customStyle="1">
    <w:name w:val="Κεφαλίδα Char"/>
    <w:basedOn w:val="DefaultParagraphFont"/>
    <w:link w:val="a3"/>
    <w:uiPriority w:val="99"/>
    <w:qFormat/>
    <w:rsid w:val="002937b1"/>
    <w:rPr>
      <w:color w:val="000000" w:themeColor="text1"/>
      <w:sz w:val="24"/>
      <w:lang w:val="en-GB"/>
    </w:rPr>
  </w:style>
  <w:style w:type="character" w:styleId="Char1" w:customStyle="1">
    <w:name w:val="Σώμα κειμένου Char"/>
    <w:basedOn w:val="DefaultParagraphFont"/>
    <w:link w:val="a4"/>
    <w:qFormat/>
    <w:rsid w:val="002937b1"/>
    <w:rPr>
      <w:rFonts w:ascii="Bookman Old Style" w:hAnsi="Bookman Old Style" w:eastAsia="Times New Roman" w:cs="Bookman Old Style"/>
      <w:color w:val="FF0000"/>
      <w:sz w:val="24"/>
      <w:szCs w:val="24"/>
      <w:lang w:eastAsia="el-GR"/>
    </w:rPr>
  </w:style>
  <w:style w:type="character" w:styleId="Char2" w:customStyle="1">
    <w:name w:val="Κείμενο πλαισίου Char"/>
    <w:basedOn w:val="DefaultParagraphFont"/>
    <w:link w:val="a5"/>
    <w:uiPriority w:val="99"/>
    <w:semiHidden/>
    <w:qFormat/>
    <w:rsid w:val="002937b1"/>
    <w:rPr>
      <w:rFonts w:ascii="Tahoma" w:hAnsi="Tahoma" w:cs="Tahoma"/>
      <w:color w:val="000000" w:themeColor="text1"/>
      <w:sz w:val="16"/>
      <w:szCs w:val="16"/>
      <w:lang w:val="en-GB"/>
    </w:rPr>
  </w:style>
  <w:style w:type="character" w:styleId="Hps" w:customStyle="1">
    <w:name w:val="hps"/>
    <w:basedOn w:val="DefaultParagraphFont"/>
    <w:qFormat/>
    <w:rsid w:val="002937b1"/>
    <w:rPr/>
  </w:style>
  <w:style w:type="character" w:styleId="Shorttext" w:customStyle="1">
    <w:name w:val="short_text"/>
    <w:basedOn w:val="DefaultParagraphFont"/>
    <w:qFormat/>
    <w:rsid w:val="002937b1"/>
    <w:rPr/>
  </w:style>
  <w:style w:type="character" w:styleId="Altedited" w:customStyle="1">
    <w:name w:val="alt-edited"/>
    <w:basedOn w:val="DefaultParagraphFont"/>
    <w:qFormat/>
    <w:rsid w:val="002937b1"/>
    <w:rPr/>
  </w:style>
  <w:style w:type="character" w:styleId="Gi" w:customStyle="1">
    <w:name w:val="gi"/>
    <w:basedOn w:val="DefaultParagraphFont"/>
    <w:qFormat/>
    <w:rsid w:val="00c04ebd"/>
    <w:rPr/>
  </w:style>
  <w:style w:type="character" w:styleId="Char3" w:customStyle="1">
    <w:name w:val="Υποσέλιδο Char"/>
    <w:basedOn w:val="DefaultParagraphFont"/>
    <w:link w:val="a7"/>
    <w:uiPriority w:val="99"/>
    <w:qFormat/>
    <w:rsid w:val="00e853c3"/>
    <w:rPr>
      <w:color w:val="000000" w:themeColor="text1"/>
      <w:sz w:val="24"/>
      <w:lang w:val="en-GB"/>
    </w:rPr>
  </w:style>
  <w:style w:type="character" w:styleId="UnresolvedMention">
    <w:name w:val="Unresolved Mention"/>
    <w:basedOn w:val="DefaultParagraphFont"/>
    <w:uiPriority w:val="99"/>
    <w:semiHidden/>
    <w:unhideWhenUsed/>
    <w:qFormat/>
    <w:rsid w:val="005c11e9"/>
    <w:rPr>
      <w:color w:val="605E5C"/>
      <w:shd w:fill="E1DFDD" w:val="clear"/>
    </w:rPr>
  </w:style>
  <w:style w:type="character" w:styleId="ListLabel1">
    <w:name w:val="ListLabel 1"/>
    <w:qFormat/>
    <w:rPr>
      <w:rFonts w:cs="Times New Roman"/>
      <w:i/>
      <w:color w:val="0000FF" w:themeColor="hyperlink"/>
      <w:szCs w:val="24"/>
      <w:u w:val="single"/>
      <w:lang w:val="en-U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Char0"/>
    <w:rsid w:val="002937b1"/>
    <w:pPr>
      <w:spacing w:lineRule="auto" w:line="360" w:before="0" w:after="0"/>
      <w:jc w:val="both"/>
    </w:pPr>
    <w:rPr>
      <w:rFonts w:ascii="Bookman Old Style" w:hAnsi="Bookman Old Style" w:eastAsia="Times New Roman" w:cs="Bookman Old Style"/>
      <w:color w:val="FF0000"/>
      <w:szCs w:val="24"/>
      <w:lang w:val="el-GR" w:eastAsia="el-G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Char"/>
    <w:uiPriority w:val="99"/>
    <w:unhideWhenUsed/>
    <w:rsid w:val="002937b1"/>
    <w:pPr>
      <w:tabs>
        <w:tab w:val="clear" w:pos="720"/>
        <w:tab w:val="center" w:pos="4153" w:leader="none"/>
        <w:tab w:val="right" w:pos="8306" w:leader="none"/>
      </w:tabs>
      <w:spacing w:lineRule="auto" w:line="240" w:before="0" w:after="0"/>
    </w:pPr>
    <w:rPr/>
  </w:style>
  <w:style w:type="paragraph" w:styleId="Reference" w:customStyle="1">
    <w:name w:val="Reference"/>
    <w:basedOn w:val="Normal"/>
    <w:qFormat/>
    <w:rsid w:val="002937b1"/>
    <w:pPr>
      <w:spacing w:lineRule="exact" w:line="240" w:before="0" w:after="0"/>
      <w:jc w:val="both"/>
    </w:pPr>
    <w:rPr>
      <w:rFonts w:ascii="Helvetica" w:hAnsi="Helvetica" w:eastAsia="Times New Roman" w:cs="Times New Roman"/>
      <w:color w:val="auto"/>
      <w:sz w:val="20"/>
      <w:szCs w:val="20"/>
      <w:lang w:val="en-US"/>
    </w:rPr>
  </w:style>
  <w:style w:type="paragraph" w:styleId="BalloonText">
    <w:name w:val="Balloon Text"/>
    <w:basedOn w:val="Normal"/>
    <w:link w:val="Char1"/>
    <w:uiPriority w:val="99"/>
    <w:semiHidden/>
    <w:unhideWhenUsed/>
    <w:qFormat/>
    <w:rsid w:val="002937b1"/>
    <w:pPr>
      <w:spacing w:lineRule="auto" w:line="240" w:before="0" w:after="0"/>
    </w:pPr>
    <w:rPr>
      <w:rFonts w:ascii="Tahoma" w:hAnsi="Tahoma" w:cs="Tahoma"/>
      <w:sz w:val="16"/>
      <w:szCs w:val="16"/>
    </w:rPr>
  </w:style>
  <w:style w:type="paragraph" w:styleId="ListParagraph">
    <w:name w:val="List Paragraph"/>
    <w:basedOn w:val="Normal"/>
    <w:uiPriority w:val="34"/>
    <w:qFormat/>
    <w:rsid w:val="00257888"/>
    <w:pPr>
      <w:spacing w:lineRule="auto" w:line="360" w:before="240" w:after="0"/>
      <w:ind w:left="720" w:hanging="0"/>
      <w:contextualSpacing/>
      <w:jc w:val="both"/>
    </w:pPr>
    <w:rPr>
      <w:color w:val="auto"/>
      <w:sz w:val="22"/>
      <w:lang w:val="el-GR"/>
    </w:rPr>
  </w:style>
  <w:style w:type="paragraph" w:styleId="Footer">
    <w:name w:val="Footer"/>
    <w:basedOn w:val="Normal"/>
    <w:link w:val="Char2"/>
    <w:uiPriority w:val="99"/>
    <w:unhideWhenUsed/>
    <w:rsid w:val="00e853c3"/>
    <w:pPr>
      <w:tabs>
        <w:tab w:val="clear" w:pos="720"/>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akisp@chemeng.upatras.g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B3157-ACD6-4F25-95C0-19EAD40B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LibreOffice/6.1.5.2$Windows_X86_64 LibreOffice_project/90f8dcf33c87b3705e78202e3df5142b201bd805</Application>
  <Pages>2</Pages>
  <Words>562</Words>
  <Characters>3079</Characters>
  <CharactersWithSpaces>3620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2022-02-06T22:01:00Z</dcterms:created>
  <dc:creator>user035</dc:creator>
  <dc:description/>
  <dc:language>en-US</dc:language>
  <cp:lastModifiedBy>PAPAPETROS KONSTANTINOS</cp:lastModifiedBy>
  <cp:lastPrinted>2016-12-14T08:08:00Z</cp:lastPrinted>
  <dcterms:modified xsi:type="dcterms:W3CDTF">2022-02-06T22:03:00Z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