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CF42" w14:textId="0FA03E82" w:rsidR="000F5DF7" w:rsidRPr="00FB3DCE" w:rsidRDefault="00D13569" w:rsidP="000F5DF7">
      <w:pPr>
        <w:jc w:val="both"/>
        <w:rPr>
          <w:rFonts w:ascii="Arial" w:hAnsi="Arial" w:cs="Arial"/>
          <w:b/>
        </w:rPr>
      </w:pPr>
      <w:r w:rsidRPr="00D13569">
        <w:rPr>
          <w:rFonts w:ascii="Arial" w:hAnsi="Arial" w:cs="Arial"/>
          <w:b/>
        </w:rPr>
        <w:t>MODELING CHEMICAL MOBILITY IN THE ENVIRONMENT</w:t>
      </w:r>
      <w:r>
        <w:rPr>
          <w:rFonts w:ascii="Arial" w:hAnsi="Arial" w:cs="Arial"/>
          <w:b/>
        </w:rPr>
        <w:t xml:space="preserve"> FOR PERSISTENT, MOBILE AND TOXIC (PMT) COMPOUNDS </w:t>
      </w:r>
    </w:p>
    <w:p w14:paraId="68A0FE3A" w14:textId="628DDFE1" w:rsidR="000F5DF7" w:rsidRPr="007714AD" w:rsidRDefault="00D13569" w:rsidP="000F5DF7">
      <w:pPr>
        <w:jc w:val="center"/>
        <w:rPr>
          <w:rFonts w:cstheme="minorHAnsi"/>
          <w:b/>
          <w:bCs/>
          <w:szCs w:val="24"/>
        </w:rPr>
      </w:pPr>
      <w:r w:rsidRPr="007714AD">
        <w:rPr>
          <w:rFonts w:cstheme="minorHAnsi"/>
          <w:b/>
          <w:bCs/>
          <w:szCs w:val="24"/>
        </w:rPr>
        <w:t>D.A. Sarigiannis</w:t>
      </w:r>
      <w:r w:rsidRPr="007714AD">
        <w:rPr>
          <w:rFonts w:cstheme="minorHAnsi"/>
          <w:b/>
          <w:bCs/>
          <w:szCs w:val="24"/>
          <w:vertAlign w:val="superscript"/>
        </w:rPr>
        <w:t>1,2,3*</w:t>
      </w:r>
      <w:r w:rsidRPr="007714AD">
        <w:rPr>
          <w:rFonts w:cstheme="minorHAnsi"/>
          <w:b/>
          <w:bCs/>
          <w:szCs w:val="24"/>
        </w:rPr>
        <w:t>, A. Stratidakis</w:t>
      </w:r>
      <w:r w:rsidRPr="007714AD">
        <w:rPr>
          <w:rFonts w:cstheme="minorHAnsi"/>
          <w:b/>
          <w:bCs/>
          <w:szCs w:val="24"/>
          <w:vertAlign w:val="superscript"/>
        </w:rPr>
        <w:t>3</w:t>
      </w:r>
      <w:r w:rsidRPr="007714AD">
        <w:rPr>
          <w:rFonts w:cstheme="minorHAnsi"/>
          <w:b/>
          <w:bCs/>
          <w:szCs w:val="24"/>
        </w:rPr>
        <w:t>, A. Karakoltzidis</w:t>
      </w:r>
      <w:r w:rsidRPr="007714AD">
        <w:rPr>
          <w:rFonts w:cstheme="minorHAnsi"/>
          <w:b/>
          <w:bCs/>
          <w:szCs w:val="24"/>
          <w:vertAlign w:val="superscript"/>
        </w:rPr>
        <w:t>1,2</w:t>
      </w:r>
      <w:r w:rsidRPr="007714AD">
        <w:rPr>
          <w:rFonts w:cstheme="minorHAnsi"/>
          <w:b/>
          <w:bCs/>
          <w:szCs w:val="24"/>
        </w:rPr>
        <w:t xml:space="preserve">, </w:t>
      </w:r>
      <w:r w:rsidR="004F305D" w:rsidRPr="007714AD">
        <w:rPr>
          <w:rFonts w:cstheme="minorHAnsi"/>
          <w:b/>
          <w:bCs/>
          <w:szCs w:val="24"/>
        </w:rPr>
        <w:t>S. Karakitsios</w:t>
      </w:r>
      <w:r w:rsidR="004F305D" w:rsidRPr="007714AD">
        <w:rPr>
          <w:rFonts w:cstheme="minorHAnsi"/>
          <w:b/>
          <w:bCs/>
          <w:szCs w:val="24"/>
          <w:vertAlign w:val="superscript"/>
        </w:rPr>
        <w:t>1,2</w:t>
      </w:r>
      <w:r w:rsidR="00D15C46" w:rsidRPr="007714AD">
        <w:rPr>
          <w:rFonts w:cstheme="minorHAnsi"/>
          <w:b/>
          <w:bCs/>
          <w:szCs w:val="24"/>
        </w:rPr>
        <w:t xml:space="preserve"> </w:t>
      </w:r>
    </w:p>
    <w:p w14:paraId="71E9366C" w14:textId="3DF54438" w:rsidR="00702241" w:rsidRPr="00FB3DCE" w:rsidRDefault="00702241" w:rsidP="00702241">
      <w:pPr>
        <w:spacing w:after="0" w:line="240" w:lineRule="auto"/>
        <w:jc w:val="center"/>
        <w:rPr>
          <w:rFonts w:cs="Times New Roman"/>
          <w:szCs w:val="24"/>
        </w:rPr>
      </w:pPr>
      <w:r w:rsidRPr="00FB3DCE">
        <w:rPr>
          <w:rFonts w:cs="Times New Roman"/>
          <w:szCs w:val="24"/>
          <w:vertAlign w:val="superscript"/>
        </w:rPr>
        <w:t>1</w:t>
      </w:r>
      <w:r w:rsidRPr="00FB3DCE">
        <w:rPr>
          <w:rFonts w:cs="Times New Roman"/>
          <w:szCs w:val="24"/>
        </w:rPr>
        <w:t xml:space="preserve"> Aristotle University of Thessaloniki, Department of Chemical Engineering, Environmental Engineering Laboratory, Thessaloniki, Greece</w:t>
      </w:r>
    </w:p>
    <w:p w14:paraId="73EF7B70" w14:textId="77777777" w:rsidR="00702241" w:rsidRPr="00FB3DCE" w:rsidRDefault="00702241" w:rsidP="00702241">
      <w:pPr>
        <w:spacing w:after="0" w:line="240" w:lineRule="auto"/>
        <w:jc w:val="center"/>
        <w:rPr>
          <w:rFonts w:cs="Times New Roman"/>
          <w:szCs w:val="24"/>
        </w:rPr>
      </w:pPr>
      <w:r w:rsidRPr="00FB3DCE">
        <w:rPr>
          <w:rFonts w:cs="Times New Roman"/>
          <w:szCs w:val="24"/>
          <w:vertAlign w:val="superscript"/>
        </w:rPr>
        <w:t>2</w:t>
      </w:r>
      <w:r w:rsidRPr="00FB3DCE">
        <w:rPr>
          <w:rFonts w:cs="Times New Roman"/>
          <w:szCs w:val="24"/>
        </w:rPr>
        <w:t xml:space="preserve"> HERACLES Research </w:t>
      </w:r>
      <w:proofErr w:type="spellStart"/>
      <w:r w:rsidRPr="00FB3DCE">
        <w:rPr>
          <w:rFonts w:cs="Times New Roman"/>
          <w:szCs w:val="24"/>
        </w:rPr>
        <w:t>Center</w:t>
      </w:r>
      <w:proofErr w:type="spellEnd"/>
      <w:r w:rsidRPr="00FB3DCE">
        <w:rPr>
          <w:rFonts w:cs="Times New Roman"/>
          <w:szCs w:val="24"/>
        </w:rPr>
        <w:t xml:space="preserve"> on the Exposome and Health, </w:t>
      </w:r>
      <w:proofErr w:type="spellStart"/>
      <w:r w:rsidRPr="00FB3DCE">
        <w:rPr>
          <w:rFonts w:cs="Times New Roman"/>
          <w:szCs w:val="24"/>
        </w:rPr>
        <w:t>Center</w:t>
      </w:r>
      <w:proofErr w:type="spellEnd"/>
      <w:r w:rsidRPr="00FB3DCE">
        <w:rPr>
          <w:rFonts w:cs="Times New Roman"/>
          <w:szCs w:val="24"/>
        </w:rPr>
        <w:t xml:space="preserve"> for Interdisciplinary Research and Innovation, Aristotle University of Thessaloniki, Greece</w:t>
      </w:r>
    </w:p>
    <w:p w14:paraId="0345DC74" w14:textId="5B35D026" w:rsidR="000F5DF7" w:rsidRPr="00FB3DCE" w:rsidRDefault="00702241" w:rsidP="000F5DF7">
      <w:pPr>
        <w:spacing w:after="0" w:line="240" w:lineRule="auto"/>
        <w:jc w:val="center"/>
        <w:rPr>
          <w:rFonts w:cs="Times New Roman"/>
          <w:szCs w:val="24"/>
        </w:rPr>
      </w:pPr>
      <w:r w:rsidRPr="00FB3DCE">
        <w:rPr>
          <w:rFonts w:cs="Times New Roman"/>
          <w:szCs w:val="24"/>
          <w:vertAlign w:val="superscript"/>
        </w:rPr>
        <w:t>3</w:t>
      </w:r>
      <w:r w:rsidR="000F5DF7" w:rsidRPr="00FB3DCE">
        <w:rPr>
          <w:rFonts w:cs="Times New Roman"/>
          <w:szCs w:val="24"/>
        </w:rPr>
        <w:t xml:space="preserve"> School for Advanced Study (IUSS), Science, Technology and Society Department, Pavia, Italy</w:t>
      </w:r>
    </w:p>
    <w:p w14:paraId="09B3AE62" w14:textId="17CC86A9" w:rsidR="000F5DF7" w:rsidRPr="00FB3DCE" w:rsidRDefault="214B3930" w:rsidP="214B3930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eastAsiaTheme="minorEastAsia"/>
          <w:b/>
          <w:bCs/>
          <w:sz w:val="24"/>
          <w:szCs w:val="24"/>
          <w:lang w:val="en-GB"/>
        </w:rPr>
      </w:pPr>
      <w:r w:rsidRPr="00FB3DCE">
        <w:rPr>
          <w:rStyle w:val="Hyperlink"/>
          <w:rFonts w:eastAsiaTheme="minorEastAsia"/>
          <w:i/>
          <w:iCs/>
          <w:sz w:val="24"/>
          <w:szCs w:val="24"/>
          <w:lang w:val="en-GB"/>
        </w:rPr>
        <w:t xml:space="preserve">*  </w:t>
      </w:r>
      <w:r w:rsidR="00645B4C">
        <w:rPr>
          <w:rStyle w:val="Hyperlink"/>
          <w:rFonts w:eastAsiaTheme="minorEastAsia"/>
          <w:i/>
          <w:iCs/>
          <w:sz w:val="24"/>
          <w:szCs w:val="24"/>
          <w:lang w:val="en-GB"/>
        </w:rPr>
        <w:t>sarigiannis</w:t>
      </w:r>
      <w:r w:rsidRPr="00FB3DCE">
        <w:rPr>
          <w:rStyle w:val="Hyperlink"/>
          <w:rFonts w:eastAsiaTheme="minorEastAsia"/>
          <w:i/>
          <w:iCs/>
          <w:sz w:val="24"/>
          <w:szCs w:val="24"/>
          <w:lang w:val="en-GB"/>
        </w:rPr>
        <w:t>@auth.gr</w:t>
      </w:r>
    </w:p>
    <w:p w14:paraId="4D35A30B" w14:textId="77777777" w:rsidR="000F5DF7" w:rsidRPr="00FB3DCE" w:rsidRDefault="000F5DF7" w:rsidP="000F5DF7">
      <w:pPr>
        <w:rPr>
          <w:rFonts w:ascii="Arial" w:hAnsi="Arial" w:cs="Arial"/>
          <w:i/>
          <w:iCs/>
        </w:rPr>
      </w:pPr>
    </w:p>
    <w:p w14:paraId="1DBCB4BD" w14:textId="77777777" w:rsidR="000F5DF7" w:rsidRPr="00FB3DCE" w:rsidRDefault="214B3930" w:rsidP="214B3930">
      <w:pPr>
        <w:jc w:val="both"/>
        <w:rPr>
          <w:rFonts w:ascii="Calibri" w:eastAsia="Calibri" w:hAnsi="Calibri" w:cs="Calibri"/>
        </w:rPr>
      </w:pPr>
      <w:r w:rsidRPr="00FB3DCE">
        <w:rPr>
          <w:rFonts w:ascii="Calibri" w:eastAsia="Calibri" w:hAnsi="Calibri" w:cs="Calibri"/>
          <w:b/>
          <w:bCs/>
        </w:rPr>
        <w:t>ABSTRACT</w:t>
      </w:r>
    </w:p>
    <w:p w14:paraId="6B6E8508" w14:textId="3CF9C0E1" w:rsidR="000F5DF7" w:rsidRPr="00FB3DCE" w:rsidRDefault="00756A18" w:rsidP="002B4DD1">
      <w:pPr>
        <w:spacing w:line="240" w:lineRule="auto"/>
        <w:jc w:val="both"/>
        <w:rPr>
          <w:rFonts w:ascii="Calibri" w:eastAsia="Calibri" w:hAnsi="Calibri" w:cs="Calibri"/>
          <w:lang w:val="en-US"/>
        </w:rPr>
      </w:pPr>
      <w:proofErr w:type="gramStart"/>
      <w:r w:rsidRPr="00756A18">
        <w:rPr>
          <w:rFonts w:ascii="Calibri" w:eastAsia="Calibri" w:hAnsi="Calibri" w:cs="Calibri"/>
          <w:lang w:val="en-US"/>
        </w:rPr>
        <w:t>Persistent, mobile, and toxic (PMT) chemicals,</w:t>
      </w:r>
      <w:proofErr w:type="gramEnd"/>
      <w:r w:rsidRPr="00756A18">
        <w:rPr>
          <w:rFonts w:ascii="Calibri" w:eastAsia="Calibri" w:hAnsi="Calibri" w:cs="Calibri"/>
          <w:lang w:val="en-US"/>
        </w:rPr>
        <w:t xml:space="preserve"> are perceived as an emerging threat to aquatic environments and drinking water quality </w:t>
      </w:r>
      <w:r w:rsidR="002B4DD1">
        <w:rPr>
          <w:rFonts w:ascii="Calibri" w:eastAsia="Calibri" w:hAnsi="Calibri" w:cs="Calibri"/>
          <w:lang w:val="en-US"/>
        </w:rPr>
        <w:t>d</w:t>
      </w:r>
      <w:r w:rsidRPr="00756A18">
        <w:rPr>
          <w:rFonts w:ascii="Calibri" w:eastAsia="Calibri" w:hAnsi="Calibri" w:cs="Calibri"/>
          <w:lang w:val="en-US"/>
        </w:rPr>
        <w:t>ue to</w:t>
      </w:r>
      <w:r w:rsidR="007714AD">
        <w:rPr>
          <w:rFonts w:ascii="Calibri" w:eastAsia="Calibri" w:hAnsi="Calibri" w:cs="Calibri"/>
          <w:lang w:val="en-US"/>
        </w:rPr>
        <w:t xml:space="preserve"> (a)</w:t>
      </w:r>
      <w:r w:rsidRPr="00756A18">
        <w:rPr>
          <w:rFonts w:ascii="Calibri" w:eastAsia="Calibri" w:hAnsi="Calibri" w:cs="Calibri"/>
          <w:lang w:val="en-US"/>
        </w:rPr>
        <w:t xml:space="preserve"> their high polarity and water solubility, </w:t>
      </w:r>
      <w:r w:rsidR="002B4DD1">
        <w:rPr>
          <w:rFonts w:ascii="Calibri" w:eastAsia="Calibri" w:hAnsi="Calibri" w:cs="Calibri"/>
          <w:lang w:val="en-US"/>
        </w:rPr>
        <w:t xml:space="preserve">that </w:t>
      </w:r>
      <w:r w:rsidR="007714AD">
        <w:rPr>
          <w:rFonts w:ascii="Calibri" w:eastAsia="Calibri" w:hAnsi="Calibri" w:cs="Calibri"/>
          <w:lang w:val="en-US"/>
        </w:rPr>
        <w:t xml:space="preserve">enables them to </w:t>
      </w:r>
      <w:r w:rsidRPr="00756A18">
        <w:rPr>
          <w:rFonts w:ascii="Calibri" w:eastAsia="Calibri" w:hAnsi="Calibri" w:cs="Calibri"/>
          <w:lang w:val="en-US"/>
        </w:rPr>
        <w:t xml:space="preserve">be transported </w:t>
      </w:r>
      <w:r w:rsidR="007714AD" w:rsidRPr="00756A18">
        <w:rPr>
          <w:rFonts w:ascii="Calibri" w:eastAsia="Calibri" w:hAnsi="Calibri" w:cs="Calibri"/>
          <w:lang w:val="en-US"/>
        </w:rPr>
        <w:t xml:space="preserve">efficiently </w:t>
      </w:r>
      <w:r w:rsidRPr="00756A18">
        <w:rPr>
          <w:rFonts w:ascii="Calibri" w:eastAsia="Calibri" w:hAnsi="Calibri" w:cs="Calibri"/>
          <w:lang w:val="en-US"/>
        </w:rPr>
        <w:t>from sources of release to groundwater or remote ecosystems</w:t>
      </w:r>
      <w:r w:rsidR="007714AD">
        <w:rPr>
          <w:rFonts w:ascii="Calibri" w:eastAsia="Calibri" w:hAnsi="Calibri" w:cs="Calibri"/>
          <w:lang w:val="en-US"/>
        </w:rPr>
        <w:t>;</w:t>
      </w:r>
      <w:r w:rsidRPr="00756A18">
        <w:rPr>
          <w:rFonts w:ascii="Calibri" w:eastAsia="Calibri" w:hAnsi="Calibri" w:cs="Calibri"/>
          <w:lang w:val="en-US"/>
        </w:rPr>
        <w:t xml:space="preserve"> </w:t>
      </w:r>
      <w:r w:rsidR="00DE7D69">
        <w:rPr>
          <w:rFonts w:ascii="Calibri" w:eastAsia="Calibri" w:hAnsi="Calibri" w:cs="Calibri"/>
          <w:lang w:val="en-US"/>
        </w:rPr>
        <w:t xml:space="preserve">and </w:t>
      </w:r>
      <w:r w:rsidR="007714AD">
        <w:rPr>
          <w:rFonts w:ascii="Calibri" w:eastAsia="Calibri" w:hAnsi="Calibri" w:cs="Calibri"/>
          <w:lang w:val="en-US"/>
        </w:rPr>
        <w:t xml:space="preserve">(b) </w:t>
      </w:r>
      <w:r w:rsidR="00DE7D69">
        <w:rPr>
          <w:rFonts w:ascii="Calibri" w:eastAsia="Calibri" w:hAnsi="Calibri" w:cs="Calibri"/>
          <w:lang w:val="en-US"/>
        </w:rPr>
        <w:t>the</w:t>
      </w:r>
      <w:r w:rsidRPr="00756A18">
        <w:rPr>
          <w:rFonts w:ascii="Calibri" w:eastAsia="Calibri" w:hAnsi="Calibri" w:cs="Calibri"/>
          <w:lang w:val="en-US"/>
        </w:rPr>
        <w:t xml:space="preserve"> relatively low removal efficiencies during water treatment</w:t>
      </w:r>
      <w:r>
        <w:rPr>
          <w:rFonts w:ascii="Calibri" w:eastAsia="Calibri" w:hAnsi="Calibri" w:cs="Calibri"/>
          <w:lang w:val="en-US"/>
        </w:rPr>
        <w:t xml:space="preserve">. </w:t>
      </w:r>
      <w:r w:rsidRPr="00756A18">
        <w:rPr>
          <w:rFonts w:ascii="Calibri" w:eastAsia="Calibri" w:hAnsi="Calibri" w:cs="Calibri"/>
          <w:lang w:val="en-US"/>
        </w:rPr>
        <w:t xml:space="preserve">The goal of the </w:t>
      </w:r>
      <w:r>
        <w:rPr>
          <w:rFonts w:ascii="Calibri" w:eastAsia="Calibri" w:hAnsi="Calibri" w:cs="Calibri"/>
          <w:lang w:val="en-US"/>
        </w:rPr>
        <w:t>current study</w:t>
      </w:r>
      <w:r w:rsidR="007714AD">
        <w:rPr>
          <w:rFonts w:ascii="Calibri" w:eastAsia="Calibri" w:hAnsi="Calibri" w:cs="Calibri"/>
          <w:lang w:val="en-US"/>
        </w:rPr>
        <w:t xml:space="preserve">, performed in the frame of the </w:t>
      </w:r>
      <w:r>
        <w:rPr>
          <w:rFonts w:ascii="Calibri" w:eastAsia="Calibri" w:hAnsi="Calibri" w:cs="Calibri"/>
          <w:lang w:val="en-US"/>
        </w:rPr>
        <w:t xml:space="preserve">CEFIC LRI </w:t>
      </w:r>
      <w:r w:rsidRPr="00756A18">
        <w:rPr>
          <w:rFonts w:ascii="Calibri" w:eastAsia="Calibri" w:hAnsi="Calibri" w:cs="Calibri"/>
          <w:lang w:val="en-US"/>
        </w:rPr>
        <w:t>ECO54 project</w:t>
      </w:r>
      <w:r w:rsidR="007714AD">
        <w:rPr>
          <w:rFonts w:ascii="Calibri" w:eastAsia="Calibri" w:hAnsi="Calibri" w:cs="Calibri"/>
          <w:lang w:val="en-US"/>
        </w:rPr>
        <w:t>,</w:t>
      </w:r>
      <w:r w:rsidRPr="00756A18">
        <w:rPr>
          <w:rFonts w:ascii="Calibri" w:eastAsia="Calibri" w:hAnsi="Calibri" w:cs="Calibri"/>
          <w:lang w:val="en-US"/>
        </w:rPr>
        <w:t xml:space="preserve"> is to develop a tiered modeling framework in support of risk assessment of (PMT) chemicals. Such a modeling framework </w:t>
      </w:r>
      <w:r w:rsidR="007714AD">
        <w:rPr>
          <w:rFonts w:ascii="Calibri" w:eastAsia="Calibri" w:hAnsi="Calibri" w:cs="Calibri"/>
          <w:lang w:val="en-US"/>
        </w:rPr>
        <w:t xml:space="preserve">couples </w:t>
      </w:r>
      <w:r w:rsidR="00DE7D69">
        <w:rPr>
          <w:rFonts w:ascii="Calibri" w:eastAsia="Calibri" w:hAnsi="Calibri" w:cs="Calibri"/>
          <w:lang w:val="en-US"/>
        </w:rPr>
        <w:t>(</w:t>
      </w:r>
      <w:proofErr w:type="spellStart"/>
      <w:r w:rsidR="007714AD">
        <w:rPr>
          <w:rFonts w:ascii="Calibri" w:eastAsia="Calibri" w:hAnsi="Calibri" w:cs="Calibri"/>
          <w:lang w:val="en-US"/>
        </w:rPr>
        <w:t>i</w:t>
      </w:r>
      <w:proofErr w:type="spellEnd"/>
      <w:r w:rsidR="00DE7D69">
        <w:rPr>
          <w:rFonts w:ascii="Calibri" w:eastAsia="Calibri" w:hAnsi="Calibri" w:cs="Calibri"/>
          <w:lang w:val="en-US"/>
        </w:rPr>
        <w:t>)</w:t>
      </w:r>
      <w:r w:rsidRPr="00756A18">
        <w:rPr>
          <w:rFonts w:ascii="Calibri" w:eastAsia="Calibri" w:hAnsi="Calibri" w:cs="Calibri"/>
          <w:lang w:val="en-US"/>
        </w:rPr>
        <w:t xml:space="preserve"> a comprehensive fate model simulating the transport, transformation, and accumulation of chemicals of interest in various environmental compartments, </w:t>
      </w:r>
      <w:r>
        <w:rPr>
          <w:rFonts w:ascii="Calibri" w:eastAsia="Calibri" w:hAnsi="Calibri" w:cs="Calibri"/>
          <w:lang w:val="en-US"/>
        </w:rPr>
        <w:t xml:space="preserve">and </w:t>
      </w:r>
      <w:r w:rsidR="00DE7D69">
        <w:rPr>
          <w:rFonts w:ascii="Calibri" w:eastAsia="Calibri" w:hAnsi="Calibri" w:cs="Calibri"/>
          <w:lang w:val="en-US"/>
        </w:rPr>
        <w:t>(</w:t>
      </w:r>
      <w:r w:rsidR="007714AD">
        <w:rPr>
          <w:rFonts w:ascii="Calibri" w:eastAsia="Calibri" w:hAnsi="Calibri" w:cs="Calibri"/>
          <w:lang w:val="en-US"/>
        </w:rPr>
        <w:t>ii</w:t>
      </w:r>
      <w:r w:rsidR="00DE7D69"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 xml:space="preserve"> an</w:t>
      </w:r>
      <w:r w:rsidRPr="00756A18">
        <w:rPr>
          <w:rFonts w:ascii="Calibri" w:eastAsia="Calibri" w:hAnsi="Calibri" w:cs="Calibri"/>
          <w:lang w:val="en-US"/>
        </w:rPr>
        <w:t xml:space="preserve"> external and internal human exposure</w:t>
      </w:r>
      <w:r>
        <w:rPr>
          <w:rFonts w:ascii="Calibri" w:eastAsia="Calibri" w:hAnsi="Calibri" w:cs="Calibri"/>
          <w:lang w:val="en-US"/>
        </w:rPr>
        <w:t xml:space="preserve"> module</w:t>
      </w:r>
      <w:r w:rsidRPr="00756A18">
        <w:rPr>
          <w:rFonts w:ascii="Calibri" w:eastAsia="Calibri" w:hAnsi="Calibri" w:cs="Calibri"/>
          <w:lang w:val="en-US"/>
        </w:rPr>
        <w:t xml:space="preserve"> to chemicals of interest</w:t>
      </w:r>
      <w:r w:rsidR="005E5A75" w:rsidRPr="005E5A75">
        <w:rPr>
          <w:rFonts w:ascii="Calibri" w:eastAsia="Calibri" w:hAnsi="Calibri" w:cs="Calibri"/>
          <w:lang w:val="en-US"/>
        </w:rPr>
        <w:t>.</w:t>
      </w:r>
      <w:r w:rsidRPr="00756A18">
        <w:t xml:space="preserve"> </w:t>
      </w:r>
      <w:r w:rsidR="007714AD">
        <w:t xml:space="preserve">The current state of the art in chemical mobility modelling includes </w:t>
      </w:r>
      <w:r>
        <w:t xml:space="preserve">our in-house model (INTEGRA), </w:t>
      </w:r>
      <w:r w:rsidR="007714AD">
        <w:rPr>
          <w:rFonts w:ascii="Calibri" w:eastAsia="Calibri" w:hAnsi="Calibri" w:cs="Calibri"/>
          <w:lang w:val="en-US"/>
        </w:rPr>
        <w:t>another four</w:t>
      </w:r>
      <w:r w:rsidR="007714AD" w:rsidRPr="00756A18">
        <w:rPr>
          <w:rFonts w:ascii="Calibri" w:eastAsia="Calibri" w:hAnsi="Calibri" w:cs="Calibri"/>
          <w:lang w:val="en-US"/>
        </w:rPr>
        <w:t xml:space="preserve"> comprehensive fate and exposure models RAIDAR/RAIDAR-ICE, PROTEX, EUSES</w:t>
      </w:r>
      <w:r w:rsidR="007714AD">
        <w:rPr>
          <w:rFonts w:ascii="Calibri" w:eastAsia="Calibri" w:hAnsi="Calibri" w:cs="Calibri"/>
          <w:lang w:val="en-US"/>
        </w:rPr>
        <w:t xml:space="preserve"> </w:t>
      </w:r>
      <w:r w:rsidR="007714AD" w:rsidRPr="00756A18">
        <w:rPr>
          <w:rFonts w:ascii="Calibri" w:eastAsia="Calibri" w:hAnsi="Calibri" w:cs="Calibri"/>
          <w:lang w:val="en-US"/>
        </w:rPr>
        <w:t xml:space="preserve">and </w:t>
      </w:r>
      <w:proofErr w:type="spellStart"/>
      <w:r w:rsidR="007714AD" w:rsidRPr="00756A18">
        <w:rPr>
          <w:rFonts w:ascii="Calibri" w:eastAsia="Calibri" w:hAnsi="Calibri" w:cs="Calibri"/>
          <w:lang w:val="en-US"/>
        </w:rPr>
        <w:t>USEtox</w:t>
      </w:r>
      <w:proofErr w:type="spellEnd"/>
      <w:r w:rsidR="007714AD" w:rsidRPr="00756A18">
        <w:rPr>
          <w:rFonts w:ascii="Calibri" w:eastAsia="Calibri" w:hAnsi="Calibri" w:cs="Calibri"/>
          <w:lang w:val="en-US"/>
        </w:rPr>
        <w:t>, and two soil-groundwater models FOCUS and PRZM-GW</w:t>
      </w:r>
      <w:r w:rsidR="007714AD">
        <w:rPr>
          <w:rFonts w:ascii="Calibri" w:eastAsia="Calibri" w:hAnsi="Calibri" w:cs="Calibri"/>
          <w:lang w:val="en-US"/>
        </w:rPr>
        <w:t>.</w:t>
      </w:r>
      <w:r w:rsidR="007714AD">
        <w:rPr>
          <w:rFonts w:ascii="Calibri" w:eastAsia="Calibri" w:hAnsi="Calibri" w:cs="Calibri"/>
          <w:lang w:val="en-US"/>
        </w:rPr>
        <w:t xml:space="preserve"> </w:t>
      </w:r>
      <w:r w:rsidR="007714AD">
        <w:rPr>
          <w:rFonts w:ascii="Calibri" w:eastAsia="Calibri" w:hAnsi="Calibri" w:cs="Calibri"/>
          <w:lang w:val="en-US"/>
        </w:rPr>
        <w:t>An interc</w:t>
      </w:r>
      <w:r w:rsidRPr="00756A18">
        <w:rPr>
          <w:rFonts w:ascii="Calibri" w:eastAsia="Calibri" w:hAnsi="Calibri" w:cs="Calibri"/>
          <w:lang w:val="en-US"/>
        </w:rPr>
        <w:t xml:space="preserve">omparison </w:t>
      </w:r>
      <w:r w:rsidR="007714AD">
        <w:rPr>
          <w:rFonts w:ascii="Calibri" w:eastAsia="Calibri" w:hAnsi="Calibri" w:cs="Calibri"/>
          <w:lang w:val="en-US"/>
        </w:rPr>
        <w:t xml:space="preserve">exercise on these models </w:t>
      </w:r>
      <w:r w:rsidRPr="00756A18">
        <w:rPr>
          <w:rFonts w:ascii="Calibri" w:eastAsia="Calibri" w:hAnsi="Calibri" w:cs="Calibri"/>
          <w:lang w:val="en-US"/>
        </w:rPr>
        <w:t>focus</w:t>
      </w:r>
      <w:r w:rsidR="002B4DD1">
        <w:rPr>
          <w:rFonts w:ascii="Calibri" w:eastAsia="Calibri" w:hAnsi="Calibri" w:cs="Calibri"/>
          <w:lang w:val="en-US"/>
        </w:rPr>
        <w:t>ed</w:t>
      </w:r>
      <w:r w:rsidRPr="00756A18">
        <w:rPr>
          <w:rFonts w:ascii="Calibri" w:eastAsia="Calibri" w:hAnsi="Calibri" w:cs="Calibri"/>
          <w:lang w:val="en-US"/>
        </w:rPr>
        <w:t xml:space="preserve"> on </w:t>
      </w:r>
      <w:r w:rsidR="002B4DD1">
        <w:rPr>
          <w:rFonts w:ascii="Calibri" w:eastAsia="Calibri" w:hAnsi="Calibri" w:cs="Calibri"/>
          <w:lang w:val="en-US"/>
        </w:rPr>
        <w:t xml:space="preserve">(a) </w:t>
      </w:r>
      <w:r w:rsidRPr="00756A18">
        <w:rPr>
          <w:rFonts w:ascii="Calibri" w:eastAsia="Calibri" w:hAnsi="Calibri" w:cs="Calibri"/>
          <w:lang w:val="en-US"/>
        </w:rPr>
        <w:t>the domain of applicability of algorithms or equations (coverage of ionogenic organic chemicals), (</w:t>
      </w:r>
      <w:r w:rsidR="002B4DD1">
        <w:rPr>
          <w:rFonts w:ascii="Calibri" w:eastAsia="Calibri" w:hAnsi="Calibri" w:cs="Calibri"/>
          <w:lang w:val="en-US"/>
        </w:rPr>
        <w:t>b</w:t>
      </w:r>
      <w:r w:rsidRPr="00756A18">
        <w:rPr>
          <w:rFonts w:ascii="Calibri" w:eastAsia="Calibri" w:hAnsi="Calibri" w:cs="Calibri"/>
          <w:lang w:val="en-US"/>
        </w:rPr>
        <w:t>) the fate and transport processes considered for the water environment, with a special focus on elimination processes (e.g., biodegradation, hydrolysis, photolysis), (</w:t>
      </w:r>
      <w:r w:rsidR="002B4DD1">
        <w:rPr>
          <w:rFonts w:ascii="Calibri" w:eastAsia="Calibri" w:hAnsi="Calibri" w:cs="Calibri"/>
          <w:lang w:val="en-US"/>
        </w:rPr>
        <w:t>c</w:t>
      </w:r>
      <w:r w:rsidRPr="00756A18">
        <w:rPr>
          <w:rFonts w:ascii="Calibri" w:eastAsia="Calibri" w:hAnsi="Calibri" w:cs="Calibri"/>
          <w:lang w:val="en-US"/>
        </w:rPr>
        <w:t>) routes of exposure, (</w:t>
      </w:r>
      <w:r w:rsidR="002B4DD1">
        <w:rPr>
          <w:rFonts w:ascii="Calibri" w:eastAsia="Calibri" w:hAnsi="Calibri" w:cs="Calibri"/>
          <w:lang w:val="en-US"/>
        </w:rPr>
        <w:t>d</w:t>
      </w:r>
      <w:r w:rsidRPr="00756A18">
        <w:rPr>
          <w:rFonts w:ascii="Calibri" w:eastAsia="Calibri" w:hAnsi="Calibri" w:cs="Calibri"/>
          <w:lang w:val="en-US"/>
        </w:rPr>
        <w:t>) spatial segmentation.</w:t>
      </w:r>
      <w:r w:rsidR="002B4DD1">
        <w:rPr>
          <w:rFonts w:ascii="Calibri" w:eastAsia="Calibri" w:hAnsi="Calibri" w:cs="Calibri"/>
          <w:lang w:val="en-US"/>
        </w:rPr>
        <w:t xml:space="preserve"> From </w:t>
      </w:r>
      <w:r w:rsidR="007714AD">
        <w:rPr>
          <w:rFonts w:ascii="Calibri" w:eastAsia="Calibri" w:hAnsi="Calibri" w:cs="Calibri"/>
          <w:lang w:val="en-US"/>
        </w:rPr>
        <w:t>this comparison</w:t>
      </w:r>
      <w:r w:rsidR="002B4DD1">
        <w:rPr>
          <w:rFonts w:ascii="Calibri" w:eastAsia="Calibri" w:hAnsi="Calibri" w:cs="Calibri"/>
          <w:lang w:val="en-US"/>
        </w:rPr>
        <w:t xml:space="preserve">, it has been concluded that </w:t>
      </w:r>
      <w:r w:rsidR="002B4DD1" w:rsidRPr="002B4DD1">
        <w:rPr>
          <w:rFonts w:ascii="Calibri" w:eastAsia="Calibri" w:hAnsi="Calibri" w:cs="Calibri"/>
          <w:lang w:val="en-US"/>
        </w:rPr>
        <w:t xml:space="preserve">the applicability </w:t>
      </w:r>
      <w:r w:rsidR="002B4DD1">
        <w:rPr>
          <w:rFonts w:ascii="Calibri" w:eastAsia="Calibri" w:hAnsi="Calibri" w:cs="Calibri"/>
          <w:lang w:val="en-US"/>
        </w:rPr>
        <w:t>domain</w:t>
      </w:r>
      <w:r w:rsidR="00735E9D">
        <w:rPr>
          <w:rFonts w:ascii="Calibri" w:eastAsia="Calibri" w:hAnsi="Calibri" w:cs="Calibri"/>
          <w:lang w:val="en-US"/>
        </w:rPr>
        <w:t xml:space="preserve"> </w:t>
      </w:r>
      <w:r w:rsidR="002B4DD1">
        <w:rPr>
          <w:rFonts w:ascii="Calibri" w:eastAsia="Calibri" w:hAnsi="Calibri" w:cs="Calibri"/>
          <w:lang w:val="en-US"/>
        </w:rPr>
        <w:t xml:space="preserve">(AD) </w:t>
      </w:r>
      <w:r w:rsidR="002B4DD1" w:rsidRPr="002B4DD1">
        <w:rPr>
          <w:rFonts w:ascii="Calibri" w:eastAsia="Calibri" w:hAnsi="Calibri" w:cs="Calibri"/>
          <w:lang w:val="en-US"/>
        </w:rPr>
        <w:t>of a fate and exposure model is constrained by the following three considerations:</w:t>
      </w:r>
      <w:r w:rsidR="002B4DD1">
        <w:rPr>
          <w:rFonts w:ascii="Calibri" w:eastAsia="Calibri" w:hAnsi="Calibri" w:cs="Calibri"/>
          <w:lang w:val="en-US"/>
        </w:rPr>
        <w:t xml:space="preserve"> (a) </w:t>
      </w:r>
      <w:r w:rsidR="002B4DD1" w:rsidRPr="002B4DD1">
        <w:rPr>
          <w:rFonts w:ascii="Calibri" w:eastAsia="Calibri" w:hAnsi="Calibri" w:cs="Calibri"/>
          <w:lang w:val="en-US"/>
        </w:rPr>
        <w:t>the AD of tools used for parameterization of fundamental properties, e.g., QSARs, used to generate equilibrium partition coefficients in the tertiary octanol-water-air system (K</w:t>
      </w:r>
      <w:r w:rsidR="002B4DD1" w:rsidRPr="00645B4C">
        <w:rPr>
          <w:rFonts w:ascii="Calibri" w:eastAsia="Calibri" w:hAnsi="Calibri" w:cs="Calibri"/>
          <w:vertAlign w:val="subscript"/>
          <w:lang w:val="en-US"/>
        </w:rPr>
        <w:t>OW</w:t>
      </w:r>
      <w:r w:rsidR="002B4DD1" w:rsidRPr="002B4DD1">
        <w:rPr>
          <w:rFonts w:ascii="Calibri" w:eastAsia="Calibri" w:hAnsi="Calibri" w:cs="Calibri"/>
          <w:lang w:val="en-US"/>
        </w:rPr>
        <w:t>, K</w:t>
      </w:r>
      <w:r w:rsidR="002B4DD1" w:rsidRPr="00645B4C">
        <w:rPr>
          <w:rFonts w:ascii="Calibri" w:eastAsia="Calibri" w:hAnsi="Calibri" w:cs="Calibri"/>
          <w:vertAlign w:val="subscript"/>
          <w:lang w:val="en-US"/>
        </w:rPr>
        <w:t>OA</w:t>
      </w:r>
      <w:r w:rsidR="002B4DD1" w:rsidRPr="002B4DD1">
        <w:rPr>
          <w:rFonts w:ascii="Calibri" w:eastAsia="Calibri" w:hAnsi="Calibri" w:cs="Calibri"/>
          <w:lang w:val="en-US"/>
        </w:rPr>
        <w:t>, and K</w:t>
      </w:r>
      <w:r w:rsidR="002B4DD1" w:rsidRPr="00645B4C">
        <w:rPr>
          <w:rFonts w:ascii="Calibri" w:eastAsia="Calibri" w:hAnsi="Calibri" w:cs="Calibri"/>
          <w:vertAlign w:val="subscript"/>
          <w:lang w:val="en-US"/>
        </w:rPr>
        <w:t>AW</w:t>
      </w:r>
      <w:r w:rsidR="002B4DD1" w:rsidRPr="002B4DD1">
        <w:rPr>
          <w:rFonts w:ascii="Calibri" w:eastAsia="Calibri" w:hAnsi="Calibri" w:cs="Calibri"/>
          <w:lang w:val="en-US"/>
        </w:rPr>
        <w:t>), as well as biodegradation and biotransformation</w:t>
      </w:r>
      <w:r w:rsidR="002B4DD1">
        <w:rPr>
          <w:rFonts w:ascii="Calibri" w:eastAsia="Calibri" w:hAnsi="Calibri" w:cs="Calibri"/>
          <w:lang w:val="en-US"/>
        </w:rPr>
        <w:t xml:space="preserve"> </w:t>
      </w:r>
      <w:r w:rsidR="00E0680B" w:rsidRPr="002B4DD1">
        <w:rPr>
          <w:rFonts w:ascii="Calibri" w:eastAsia="Calibri" w:hAnsi="Calibri" w:cs="Calibri"/>
          <w:lang w:val="en-US"/>
        </w:rPr>
        <w:t>half-lives</w:t>
      </w:r>
      <w:r w:rsidR="00E0680B">
        <w:rPr>
          <w:rFonts w:ascii="Calibri" w:eastAsia="Calibri" w:hAnsi="Calibri" w:cs="Calibri"/>
          <w:lang w:val="en-US"/>
        </w:rPr>
        <w:t>;</w:t>
      </w:r>
      <w:r w:rsidR="00E0680B" w:rsidRPr="002B4DD1">
        <w:rPr>
          <w:rFonts w:ascii="Calibri" w:eastAsia="Calibri" w:hAnsi="Calibri" w:cs="Calibri"/>
          <w:lang w:val="en-US"/>
        </w:rPr>
        <w:t xml:space="preserve"> </w:t>
      </w:r>
      <w:r w:rsidR="002B4DD1">
        <w:rPr>
          <w:rFonts w:ascii="Calibri" w:eastAsia="Calibri" w:hAnsi="Calibri" w:cs="Calibri"/>
          <w:lang w:val="en-US"/>
        </w:rPr>
        <w:t xml:space="preserve">(b) </w:t>
      </w:r>
      <w:r w:rsidR="002B4DD1" w:rsidRPr="002B4DD1">
        <w:rPr>
          <w:rFonts w:ascii="Calibri" w:eastAsia="Calibri" w:hAnsi="Calibri" w:cs="Calibri"/>
          <w:lang w:val="en-US"/>
        </w:rPr>
        <w:t xml:space="preserve">the range of the fundamental properties of chemicals </w:t>
      </w:r>
      <w:r w:rsidR="00735E9D">
        <w:rPr>
          <w:rFonts w:ascii="Calibri" w:eastAsia="Calibri" w:hAnsi="Calibri" w:cs="Calibri"/>
          <w:lang w:val="en-US"/>
        </w:rPr>
        <w:t xml:space="preserve">the </w:t>
      </w:r>
      <w:r w:rsidR="002B4DD1" w:rsidRPr="002B4DD1">
        <w:rPr>
          <w:rFonts w:ascii="Calibri" w:eastAsia="Calibri" w:hAnsi="Calibri" w:cs="Calibri"/>
          <w:lang w:val="en-US"/>
        </w:rPr>
        <w:t xml:space="preserve">experimental measurements </w:t>
      </w:r>
      <w:r w:rsidR="00735E9D">
        <w:rPr>
          <w:rFonts w:ascii="Calibri" w:eastAsia="Calibri" w:hAnsi="Calibri" w:cs="Calibri"/>
          <w:lang w:val="en-US"/>
        </w:rPr>
        <w:t xml:space="preserve">of which </w:t>
      </w:r>
      <w:r w:rsidR="002B4DD1" w:rsidRPr="002B4DD1">
        <w:rPr>
          <w:rFonts w:ascii="Calibri" w:eastAsia="Calibri" w:hAnsi="Calibri" w:cs="Calibri"/>
          <w:lang w:val="en-US"/>
        </w:rPr>
        <w:t>are used to develop built-in empirical relationships for parameterization of partitioning or mass transfer inputs</w:t>
      </w:r>
      <w:r w:rsidR="00E0680B">
        <w:rPr>
          <w:rFonts w:ascii="Calibri" w:eastAsia="Calibri" w:hAnsi="Calibri" w:cs="Calibri"/>
          <w:lang w:val="en-US"/>
        </w:rPr>
        <w:t>;</w:t>
      </w:r>
      <w:r w:rsidR="002B4DD1" w:rsidRPr="002B4DD1">
        <w:rPr>
          <w:rFonts w:ascii="Calibri" w:eastAsia="Calibri" w:hAnsi="Calibri" w:cs="Calibri"/>
          <w:lang w:val="en-US"/>
        </w:rPr>
        <w:t xml:space="preserve"> </w:t>
      </w:r>
      <w:r w:rsidR="002B4DD1">
        <w:rPr>
          <w:rFonts w:ascii="Calibri" w:eastAsia="Calibri" w:hAnsi="Calibri" w:cs="Calibri"/>
          <w:lang w:val="en-US"/>
        </w:rPr>
        <w:t xml:space="preserve">and (c) </w:t>
      </w:r>
      <w:r w:rsidR="002B4DD1" w:rsidRPr="002B4DD1">
        <w:rPr>
          <w:rFonts w:ascii="Calibri" w:eastAsia="Calibri" w:hAnsi="Calibri" w:cs="Calibri"/>
          <w:lang w:val="en-US"/>
        </w:rPr>
        <w:t>assumptions adopted by model algorithms. Most fate and exposure models assume well-mix</w:t>
      </w:r>
      <w:r w:rsidR="00735E9D">
        <w:rPr>
          <w:rFonts w:ascii="Calibri" w:eastAsia="Calibri" w:hAnsi="Calibri" w:cs="Calibri"/>
          <w:lang w:val="en-US"/>
        </w:rPr>
        <w:t>ed</w:t>
      </w:r>
      <w:r w:rsidR="002B4DD1" w:rsidRPr="002B4DD1">
        <w:rPr>
          <w:rFonts w:ascii="Calibri" w:eastAsia="Calibri" w:hAnsi="Calibri" w:cs="Calibri"/>
          <w:lang w:val="en-US"/>
        </w:rPr>
        <w:t>, homogen</w:t>
      </w:r>
      <w:r w:rsidR="00735E9D">
        <w:rPr>
          <w:rFonts w:ascii="Calibri" w:eastAsia="Calibri" w:hAnsi="Calibri" w:cs="Calibri"/>
          <w:lang w:val="en-US"/>
        </w:rPr>
        <w:t>e</w:t>
      </w:r>
      <w:r w:rsidR="002B4DD1" w:rsidRPr="002B4DD1">
        <w:rPr>
          <w:rFonts w:ascii="Calibri" w:eastAsia="Calibri" w:hAnsi="Calibri" w:cs="Calibri"/>
          <w:lang w:val="en-US"/>
        </w:rPr>
        <w:t>ous environmental compartments, and equilibrium partitioning between phases within a compartment (i.e., sub-compartments). High-throughput screening models additionally assume the steady-state of mass distribution in the modeled region. Ideally, a suitable fate and exposure model should be used to make predictions falling within this AD by interpolation, not extrapolation</w:t>
      </w:r>
      <w:r w:rsidR="00E0680B">
        <w:rPr>
          <w:rFonts w:ascii="Calibri" w:eastAsia="Calibri" w:hAnsi="Calibri" w:cs="Calibri"/>
          <w:lang w:val="en-US"/>
        </w:rPr>
        <w:t xml:space="preserve"> and it should be able to capture the complex temporal and spatial dynamics of chemical mobility in the environment</w:t>
      </w:r>
      <w:r w:rsidR="002B4DD1" w:rsidRPr="002B4DD1">
        <w:rPr>
          <w:rFonts w:ascii="Calibri" w:eastAsia="Calibri" w:hAnsi="Calibri" w:cs="Calibri"/>
          <w:lang w:val="en-US"/>
        </w:rPr>
        <w:t>.</w:t>
      </w:r>
    </w:p>
    <w:p w14:paraId="09F283F6" w14:textId="77777777" w:rsidR="000F5DF7" w:rsidRPr="00FB3DCE" w:rsidRDefault="000F5DF7" w:rsidP="214B3930">
      <w:pPr>
        <w:rPr>
          <w:rFonts w:ascii="Calibri" w:eastAsia="Calibri" w:hAnsi="Calibri" w:cs="Calibri"/>
        </w:rPr>
      </w:pPr>
    </w:p>
    <w:p w14:paraId="37BD382E" w14:textId="16DFA89F" w:rsidR="000F5DF7" w:rsidRPr="00FB3DCE" w:rsidRDefault="74F62B5F" w:rsidP="214B3930">
      <w:pPr>
        <w:jc w:val="both"/>
        <w:rPr>
          <w:rFonts w:ascii="Calibri" w:eastAsia="Calibri" w:hAnsi="Calibri" w:cs="Calibri"/>
          <w:sz w:val="20"/>
          <w:szCs w:val="20"/>
        </w:rPr>
      </w:pPr>
      <w:r w:rsidRPr="00FB3DCE">
        <w:rPr>
          <w:rFonts w:ascii="Calibri" w:eastAsia="Calibri" w:hAnsi="Calibri" w:cs="Calibri"/>
          <w:b/>
          <w:bCs/>
          <w:sz w:val="20"/>
          <w:szCs w:val="20"/>
        </w:rPr>
        <w:t>KEYWORDS:</w:t>
      </w:r>
      <w:r w:rsidRPr="00FB3DCE">
        <w:rPr>
          <w:rFonts w:ascii="Calibri" w:eastAsia="Calibri" w:hAnsi="Calibri" w:cs="Calibri"/>
          <w:sz w:val="20"/>
          <w:szCs w:val="20"/>
        </w:rPr>
        <w:t xml:space="preserve"> </w:t>
      </w:r>
      <w:r w:rsidR="00645B4C">
        <w:rPr>
          <w:rFonts w:ascii="Calibri" w:eastAsia="Calibri" w:hAnsi="Calibri" w:cs="Calibri"/>
          <w:sz w:val="20"/>
          <w:szCs w:val="20"/>
        </w:rPr>
        <w:t xml:space="preserve">PMT </w:t>
      </w:r>
      <w:r w:rsidRPr="00FB3DCE">
        <w:rPr>
          <w:rFonts w:ascii="Calibri" w:eastAsia="Calibri" w:hAnsi="Calibri" w:cs="Calibri"/>
          <w:sz w:val="20"/>
          <w:szCs w:val="20"/>
        </w:rPr>
        <w:t>chemical</w:t>
      </w:r>
      <w:r w:rsidR="00702241" w:rsidRPr="00FB3DCE">
        <w:rPr>
          <w:rFonts w:ascii="Calibri" w:eastAsia="Calibri" w:hAnsi="Calibri" w:cs="Calibri"/>
          <w:sz w:val="20"/>
          <w:szCs w:val="20"/>
        </w:rPr>
        <w:t>s</w:t>
      </w:r>
      <w:r w:rsidRPr="00FB3DCE">
        <w:rPr>
          <w:rFonts w:ascii="Calibri" w:eastAsia="Calibri" w:hAnsi="Calibri" w:cs="Calibri"/>
          <w:sz w:val="20"/>
          <w:szCs w:val="20"/>
        </w:rPr>
        <w:t xml:space="preserve">, </w:t>
      </w:r>
      <w:r w:rsidR="00645B4C">
        <w:rPr>
          <w:rFonts w:ascii="Calibri" w:eastAsia="Calibri" w:hAnsi="Calibri" w:cs="Calibri"/>
          <w:sz w:val="20"/>
          <w:szCs w:val="20"/>
        </w:rPr>
        <w:t>multimedia environmental fate</w:t>
      </w:r>
      <w:r w:rsidR="002B13D6" w:rsidRPr="00FB3DCE">
        <w:rPr>
          <w:rFonts w:ascii="Calibri" w:eastAsia="Calibri" w:hAnsi="Calibri" w:cs="Calibri"/>
          <w:sz w:val="20"/>
          <w:szCs w:val="20"/>
        </w:rPr>
        <w:t>,</w:t>
      </w:r>
      <w:r w:rsidR="00702241" w:rsidRPr="00FB3DCE">
        <w:rPr>
          <w:rFonts w:ascii="Calibri" w:eastAsia="Calibri" w:hAnsi="Calibri" w:cs="Calibri"/>
          <w:sz w:val="20"/>
          <w:szCs w:val="20"/>
        </w:rPr>
        <w:t xml:space="preserve"> </w:t>
      </w:r>
      <w:r w:rsidR="00645B4C">
        <w:rPr>
          <w:rFonts w:ascii="Calibri" w:eastAsia="Calibri" w:hAnsi="Calibri" w:cs="Calibri"/>
          <w:sz w:val="20"/>
          <w:szCs w:val="20"/>
        </w:rPr>
        <w:t xml:space="preserve">exposure </w:t>
      </w:r>
      <w:proofErr w:type="spellStart"/>
      <w:r w:rsidR="00645B4C">
        <w:rPr>
          <w:rFonts w:ascii="Calibri" w:eastAsia="Calibri" w:hAnsi="Calibri" w:cs="Calibri"/>
          <w:sz w:val="20"/>
          <w:szCs w:val="20"/>
        </w:rPr>
        <w:t>modeling</w:t>
      </w:r>
      <w:proofErr w:type="spellEnd"/>
    </w:p>
    <w:p w14:paraId="1D7BAB28" w14:textId="7CBA440C" w:rsidR="004F7B38" w:rsidRPr="00FB3DCE" w:rsidRDefault="004F7B38" w:rsidP="214B3930">
      <w:pPr>
        <w:rPr>
          <w:rFonts w:ascii="Calibri" w:eastAsia="Calibri" w:hAnsi="Calibri" w:cs="Calibri"/>
        </w:rPr>
      </w:pPr>
    </w:p>
    <w:sectPr w:rsidR="004F7B38" w:rsidRPr="00FB3DCE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7D885" w14:textId="77777777" w:rsidR="001E3FC3" w:rsidRDefault="001E3FC3" w:rsidP="00B10FCD">
      <w:pPr>
        <w:spacing w:after="0" w:line="240" w:lineRule="auto"/>
      </w:pPr>
      <w:r>
        <w:separator/>
      </w:r>
    </w:p>
  </w:endnote>
  <w:endnote w:type="continuationSeparator" w:id="0">
    <w:p w14:paraId="7F905299" w14:textId="77777777" w:rsidR="001E3FC3" w:rsidRDefault="001E3FC3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E050DF" w:rsidRPr="00E050DF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3F14" w14:textId="77777777" w:rsidR="001E3FC3" w:rsidRDefault="001E3FC3" w:rsidP="00B10FCD">
      <w:pPr>
        <w:spacing w:after="0" w:line="240" w:lineRule="auto"/>
      </w:pPr>
      <w:r>
        <w:separator/>
      </w:r>
    </w:p>
  </w:footnote>
  <w:footnote w:type="continuationSeparator" w:id="0">
    <w:p w14:paraId="481C5B50" w14:textId="77777777" w:rsidR="001E3FC3" w:rsidRDefault="001E3FC3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rgUAykv4lSwAAAA="/>
  </w:docVars>
  <w:rsids>
    <w:rsidRoot w:val="002937B1"/>
    <w:rsid w:val="00055CAD"/>
    <w:rsid w:val="000C3B9B"/>
    <w:rsid w:val="000E7582"/>
    <w:rsid w:val="000F5DF7"/>
    <w:rsid w:val="001327BE"/>
    <w:rsid w:val="00134726"/>
    <w:rsid w:val="00137B0D"/>
    <w:rsid w:val="0016410C"/>
    <w:rsid w:val="00176295"/>
    <w:rsid w:val="001E3FC3"/>
    <w:rsid w:val="001E502F"/>
    <w:rsid w:val="00257888"/>
    <w:rsid w:val="002607CE"/>
    <w:rsid w:val="0027478C"/>
    <w:rsid w:val="002937B1"/>
    <w:rsid w:val="002938E7"/>
    <w:rsid w:val="002B13CB"/>
    <w:rsid w:val="002B13D6"/>
    <w:rsid w:val="002B4DD1"/>
    <w:rsid w:val="00380BDE"/>
    <w:rsid w:val="003F0560"/>
    <w:rsid w:val="003F102B"/>
    <w:rsid w:val="004625D1"/>
    <w:rsid w:val="00472631"/>
    <w:rsid w:val="00480982"/>
    <w:rsid w:val="004C2490"/>
    <w:rsid w:val="004F305D"/>
    <w:rsid w:val="004F7B38"/>
    <w:rsid w:val="0056644B"/>
    <w:rsid w:val="005A4565"/>
    <w:rsid w:val="005B5B4A"/>
    <w:rsid w:val="005C5F6C"/>
    <w:rsid w:val="005E5A75"/>
    <w:rsid w:val="00645B4C"/>
    <w:rsid w:val="00655B78"/>
    <w:rsid w:val="00670DAB"/>
    <w:rsid w:val="006A44A4"/>
    <w:rsid w:val="00702241"/>
    <w:rsid w:val="00705DF0"/>
    <w:rsid w:val="00735E9D"/>
    <w:rsid w:val="00740701"/>
    <w:rsid w:val="00756A18"/>
    <w:rsid w:val="00756D04"/>
    <w:rsid w:val="0075703D"/>
    <w:rsid w:val="007714AD"/>
    <w:rsid w:val="00773691"/>
    <w:rsid w:val="007807C7"/>
    <w:rsid w:val="0081402C"/>
    <w:rsid w:val="008F5143"/>
    <w:rsid w:val="00910F11"/>
    <w:rsid w:val="00915963"/>
    <w:rsid w:val="00926E82"/>
    <w:rsid w:val="00931CEF"/>
    <w:rsid w:val="00935497"/>
    <w:rsid w:val="009803F2"/>
    <w:rsid w:val="00982C9E"/>
    <w:rsid w:val="00997EF7"/>
    <w:rsid w:val="009C653D"/>
    <w:rsid w:val="00A00D07"/>
    <w:rsid w:val="00A37FBF"/>
    <w:rsid w:val="00A7002D"/>
    <w:rsid w:val="00A84D47"/>
    <w:rsid w:val="00AA4FE7"/>
    <w:rsid w:val="00AB16ED"/>
    <w:rsid w:val="00AD393E"/>
    <w:rsid w:val="00AF459A"/>
    <w:rsid w:val="00AF687A"/>
    <w:rsid w:val="00B01117"/>
    <w:rsid w:val="00B10FCD"/>
    <w:rsid w:val="00B36AC7"/>
    <w:rsid w:val="00BB51B3"/>
    <w:rsid w:val="00C04EBD"/>
    <w:rsid w:val="00C07544"/>
    <w:rsid w:val="00C14866"/>
    <w:rsid w:val="00C55D63"/>
    <w:rsid w:val="00C82A15"/>
    <w:rsid w:val="00C84852"/>
    <w:rsid w:val="00C87A50"/>
    <w:rsid w:val="00CD2A96"/>
    <w:rsid w:val="00CE6724"/>
    <w:rsid w:val="00CF122D"/>
    <w:rsid w:val="00CF4EEC"/>
    <w:rsid w:val="00D13569"/>
    <w:rsid w:val="00D15C46"/>
    <w:rsid w:val="00D24AEC"/>
    <w:rsid w:val="00D41C6E"/>
    <w:rsid w:val="00D678BE"/>
    <w:rsid w:val="00DA5472"/>
    <w:rsid w:val="00DE346C"/>
    <w:rsid w:val="00DE7D69"/>
    <w:rsid w:val="00E050DF"/>
    <w:rsid w:val="00E0680B"/>
    <w:rsid w:val="00E31B83"/>
    <w:rsid w:val="00E63CAC"/>
    <w:rsid w:val="00E853C3"/>
    <w:rsid w:val="00E87E35"/>
    <w:rsid w:val="00EC36AD"/>
    <w:rsid w:val="00ED7AD7"/>
    <w:rsid w:val="00FB3DCE"/>
    <w:rsid w:val="00FC24FB"/>
    <w:rsid w:val="00FE477F"/>
    <w:rsid w:val="214B3930"/>
    <w:rsid w:val="74F6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paragraph" w:customStyle="1" w:styleId="1">
    <w:name w:val="Обычный1"/>
    <w:link w:val="1Char"/>
    <w:rsid w:val="00176295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-US"/>
    </w:rPr>
  </w:style>
  <w:style w:type="character" w:customStyle="1" w:styleId="1Char">
    <w:name w:val="Обычный1 Char"/>
    <w:basedOn w:val="DefaultParagraphFont"/>
    <w:link w:val="1"/>
    <w:rsid w:val="00176295"/>
    <w:rPr>
      <w:rFonts w:ascii="Arial" w:eastAsia="Arial" w:hAnsi="Arial" w:cs="Arial"/>
      <w:color w:val="000000"/>
      <w:lang w:val="en-US"/>
    </w:rPr>
  </w:style>
  <w:style w:type="paragraph" w:styleId="FootnoteText">
    <w:name w:val="footnote text"/>
    <w:aliases w:val="Schriftart: 9 pt,Schriftart: 10 pt,Schriftart: 8 pt,WB-Fußnotentext,fn,Footnotes,Footnote ak,FoodNote,ft,Footnote,Footnote Text Char1,Footnote Text Char Char,Footnote Text Char1 Char Char,footnote text"/>
    <w:basedOn w:val="Normal"/>
    <w:link w:val="FootnoteTextChar"/>
    <w:unhideWhenUsed/>
    <w:qFormat/>
    <w:rsid w:val="00931CE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dNote Char,ft Char,Footnote Char,Footnote Text Char1 Char,Footnote Text Char Char Char"/>
    <w:basedOn w:val="DefaultParagraphFont"/>
    <w:link w:val="FootnoteText"/>
    <w:rsid w:val="00931CE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ootnote symbol,Times 10 Point,Exposant 3 Point, Exposant 3 Point,Footnote reference number,Odwołanie przypisu,note TESI,Ref,de nota al pie,Footnote number,Footnote Reference Number,Footnote#,SUPERS,number,stylish,Знак сноски-FN"/>
    <w:basedOn w:val="DefaultParagraphFont"/>
    <w:uiPriority w:val="99"/>
    <w:unhideWhenUsed/>
    <w:qFormat/>
    <w:rsid w:val="00931C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ED8780EE-F097-4C7F-B4A1-A6CA245E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user035</dc:creator>
  <cp:lastModifiedBy>Dimosthenis Sarigiannis</cp:lastModifiedBy>
  <cp:revision>2</cp:revision>
  <cp:lastPrinted>2016-12-14T08:08:00Z</cp:lastPrinted>
  <dcterms:created xsi:type="dcterms:W3CDTF">2022-02-13T18:26:00Z</dcterms:created>
  <dcterms:modified xsi:type="dcterms:W3CDTF">2022-02-13T18:26:00Z</dcterms:modified>
</cp:coreProperties>
</file>