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5928" w14:textId="77777777" w:rsidR="00C04EBD" w:rsidRDefault="00C04EBD" w:rsidP="00257888">
      <w:pPr>
        <w:spacing w:after="120" w:line="240" w:lineRule="auto"/>
        <w:jc w:val="center"/>
        <w:rPr>
          <w:rStyle w:val="hps"/>
          <w:rFonts w:cs="Times New Roman"/>
          <w:b/>
          <w:szCs w:val="24"/>
          <w:lang w:val="el-GR"/>
        </w:rPr>
      </w:pPr>
    </w:p>
    <w:p w14:paraId="7186BB36" w14:textId="31B6D8CD" w:rsidR="002937B1" w:rsidRPr="00195978" w:rsidRDefault="00AB2958"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Style w:val="hps"/>
          <w:rFonts w:cs="Times New Roman"/>
          <w:b/>
          <w:szCs w:val="24"/>
          <w:lang w:val="en-US"/>
        </w:rPr>
      </w:pPr>
      <w:r w:rsidRPr="00AB2958">
        <w:rPr>
          <w:rStyle w:val="hps"/>
          <w:rFonts w:cs="Times New Roman"/>
          <w:b/>
          <w:szCs w:val="24"/>
          <w:lang w:val="en-US"/>
        </w:rPr>
        <w:t>Towards in a new equation for the interfacial failure of nanocomposites</w:t>
      </w:r>
    </w:p>
    <w:p w14:paraId="27978D38" w14:textId="77777777" w:rsidR="00AB2958" w:rsidRPr="005D1BEC" w:rsidRDefault="00AB2958"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41AE6166" w:rsidR="00257888" w:rsidRPr="005D1BEC" w:rsidRDefault="00AB2958" w:rsidP="00257888">
      <w:pPr>
        <w:spacing w:after="120" w:line="240" w:lineRule="auto"/>
        <w:jc w:val="center"/>
        <w:rPr>
          <w:rStyle w:val="hps"/>
          <w:rFonts w:cs="Times New Roman"/>
          <w:b/>
          <w:szCs w:val="24"/>
          <w:lang w:val="en-US"/>
        </w:rPr>
      </w:pPr>
      <w:r>
        <w:rPr>
          <w:rStyle w:val="hps"/>
          <w:rFonts w:cs="Times New Roman"/>
          <w:b/>
          <w:szCs w:val="24"/>
          <w:lang w:val="en-US"/>
        </w:rPr>
        <w:t>S</w:t>
      </w:r>
      <w:r w:rsidR="00257888" w:rsidRPr="005D1BEC">
        <w:rPr>
          <w:rStyle w:val="hps"/>
          <w:rFonts w:cs="Times New Roman"/>
          <w:b/>
          <w:szCs w:val="24"/>
          <w:lang w:val="en-US"/>
        </w:rPr>
        <w:t>.</w:t>
      </w:r>
      <w:r>
        <w:rPr>
          <w:rStyle w:val="hps"/>
          <w:rFonts w:cs="Times New Roman"/>
          <w:b/>
          <w:szCs w:val="24"/>
          <w:lang w:val="en-US"/>
        </w:rPr>
        <w:t xml:space="preserve"> V.</w:t>
      </w:r>
      <w:r w:rsidR="00257888" w:rsidRPr="005D1BEC">
        <w:rPr>
          <w:rStyle w:val="hps"/>
          <w:rFonts w:cs="Times New Roman"/>
          <w:b/>
          <w:szCs w:val="24"/>
          <w:lang w:val="en-US"/>
        </w:rPr>
        <w:t xml:space="preserve"> </w:t>
      </w:r>
      <w:r>
        <w:rPr>
          <w:rStyle w:val="hps"/>
          <w:rFonts w:cs="Times New Roman"/>
          <w:b/>
          <w:szCs w:val="24"/>
          <w:lang w:val="en-US"/>
        </w:rPr>
        <w:t>Kallivokas</w:t>
      </w:r>
      <w:r w:rsidR="00257888" w:rsidRPr="005D1BEC">
        <w:rPr>
          <w:rStyle w:val="hps"/>
          <w:rFonts w:cs="Times New Roman"/>
          <w:b/>
          <w:szCs w:val="24"/>
          <w:vertAlign w:val="superscript"/>
          <w:lang w:val="en-US"/>
        </w:rPr>
        <w:t>1</w:t>
      </w:r>
      <w:proofErr w:type="gramStart"/>
      <w:r w:rsidR="00257888" w:rsidRPr="005D1BEC">
        <w:rPr>
          <w:rStyle w:val="hps"/>
          <w:rFonts w:cs="Times New Roman"/>
          <w:b/>
          <w:szCs w:val="24"/>
          <w:vertAlign w:val="superscript"/>
          <w:lang w:val="en-US"/>
        </w:rPr>
        <w:t>,2</w:t>
      </w:r>
      <w:proofErr w:type="gramEnd"/>
      <w:r w:rsidR="009374B8" w:rsidRPr="009374B8">
        <w:rPr>
          <w:rStyle w:val="hps"/>
          <w:rFonts w:cs="Times New Roman"/>
          <w:b/>
          <w:szCs w:val="24"/>
          <w:vertAlign w:val="superscript"/>
          <w:lang w:val="en-US"/>
        </w:rPr>
        <w:t>,*</w:t>
      </w:r>
      <w:r w:rsidR="001327BE" w:rsidRPr="005D1BEC">
        <w:rPr>
          <w:rStyle w:val="hps"/>
          <w:rFonts w:cs="Times New Roman"/>
          <w:b/>
          <w:szCs w:val="24"/>
          <w:lang w:val="en-US"/>
        </w:rPr>
        <w:t xml:space="preserve">, </w:t>
      </w:r>
      <w:r>
        <w:rPr>
          <w:rStyle w:val="hps"/>
          <w:rFonts w:cs="Times New Roman"/>
          <w:b/>
          <w:szCs w:val="24"/>
          <w:lang w:val="en-US"/>
        </w:rPr>
        <w:t>A</w:t>
      </w:r>
      <w:r w:rsidR="00406EAA" w:rsidRPr="005D1BEC">
        <w:rPr>
          <w:rStyle w:val="hps"/>
          <w:rFonts w:cs="Times New Roman"/>
          <w:b/>
          <w:szCs w:val="24"/>
          <w:lang w:val="en-US"/>
        </w:rPr>
        <w:t xml:space="preserve">. </w:t>
      </w:r>
      <w:r>
        <w:rPr>
          <w:rStyle w:val="hps"/>
          <w:rFonts w:cs="Times New Roman"/>
          <w:b/>
          <w:szCs w:val="24"/>
          <w:lang w:val="en-US"/>
        </w:rPr>
        <w:t>P. Sgouros</w:t>
      </w:r>
      <w:r w:rsidR="00406EAA" w:rsidRPr="005D1BEC">
        <w:rPr>
          <w:rStyle w:val="hps"/>
          <w:rFonts w:cs="Times New Roman"/>
          <w:b/>
          <w:szCs w:val="24"/>
          <w:vertAlign w:val="superscript"/>
          <w:lang w:val="en-US"/>
        </w:rPr>
        <w:t>2</w:t>
      </w:r>
      <w:r w:rsidR="001327BE" w:rsidRPr="005D1BEC">
        <w:rPr>
          <w:rStyle w:val="hps"/>
          <w:rFonts w:cs="Times New Roman"/>
          <w:b/>
          <w:szCs w:val="24"/>
          <w:lang w:val="en-US"/>
        </w:rPr>
        <w:t>,</w:t>
      </w:r>
      <w:r w:rsidR="00257888" w:rsidRPr="005D1BEC">
        <w:rPr>
          <w:rStyle w:val="hps"/>
          <w:rFonts w:cs="Times New Roman"/>
          <w:b/>
          <w:szCs w:val="24"/>
          <w:lang w:val="en-US"/>
        </w:rPr>
        <w:t xml:space="preserve"> </w:t>
      </w:r>
      <w:r>
        <w:rPr>
          <w:rStyle w:val="hps"/>
          <w:rFonts w:cs="Times New Roman"/>
          <w:b/>
          <w:szCs w:val="24"/>
          <w:lang w:val="en-US"/>
        </w:rPr>
        <w:t>D.N. Theodorou</w:t>
      </w:r>
      <w:r w:rsidR="009374B8">
        <w:rPr>
          <w:rStyle w:val="hps"/>
          <w:rFonts w:cs="Times New Roman"/>
          <w:b/>
          <w:szCs w:val="24"/>
          <w:vertAlign w:val="superscript"/>
          <w:lang w:val="en-US"/>
        </w:rPr>
        <w:t>2</w:t>
      </w:r>
      <w:r w:rsidR="00DA5472" w:rsidRPr="005D1BEC">
        <w:rPr>
          <w:rStyle w:val="hps"/>
          <w:rFonts w:cs="Times New Roman"/>
          <w:b/>
          <w:szCs w:val="24"/>
          <w:lang w:val="en-US"/>
        </w:rPr>
        <w:t xml:space="preserve"> </w:t>
      </w:r>
    </w:p>
    <w:p w14:paraId="0F6B8FBC" w14:textId="7F017972" w:rsidR="009374B8" w:rsidRDefault="00257888" w:rsidP="009374B8">
      <w:pPr>
        <w:pStyle w:val="ListParagraph"/>
        <w:spacing w:line="240" w:lineRule="auto"/>
        <w:jc w:val="center"/>
        <w:rPr>
          <w:rStyle w:val="hps"/>
          <w:rFonts w:cs="Times New Roman"/>
          <w:sz w:val="24"/>
          <w:szCs w:val="24"/>
          <w:lang w:val="en-US"/>
        </w:rPr>
      </w:pPr>
      <w:r w:rsidRPr="005D1BEC">
        <w:rPr>
          <w:rStyle w:val="hps"/>
          <w:rFonts w:cs="Times New Roman"/>
          <w:sz w:val="24"/>
          <w:szCs w:val="24"/>
          <w:vertAlign w:val="superscript"/>
          <w:lang w:val="en-US"/>
        </w:rPr>
        <w:t xml:space="preserve">1 </w:t>
      </w:r>
      <w:r w:rsidR="009374B8">
        <w:rPr>
          <w:rStyle w:val="hps"/>
          <w:rFonts w:cs="Times New Roman"/>
          <w:sz w:val="24"/>
          <w:szCs w:val="24"/>
          <w:lang w:val="en-US"/>
        </w:rPr>
        <w:t xml:space="preserve">Centre for Research and Technology Hellas/Hellenic </w:t>
      </w:r>
      <w:r w:rsidR="00A772C1">
        <w:rPr>
          <w:rStyle w:val="hps"/>
          <w:rFonts w:cs="Times New Roman"/>
          <w:sz w:val="24"/>
          <w:szCs w:val="24"/>
          <w:lang w:val="en-US"/>
        </w:rPr>
        <w:t>Institute of Transport</w:t>
      </w:r>
      <w:r w:rsidR="009374B8">
        <w:rPr>
          <w:rStyle w:val="hps"/>
          <w:rFonts w:cs="Times New Roman"/>
          <w:sz w:val="24"/>
          <w:szCs w:val="24"/>
          <w:lang w:val="en-US"/>
        </w:rPr>
        <w:t xml:space="preserve">, </w:t>
      </w:r>
    </w:p>
    <w:p w14:paraId="3003DB79" w14:textId="2C75D04D" w:rsidR="00257888" w:rsidRPr="00406EAA" w:rsidRDefault="009374B8" w:rsidP="009374B8">
      <w:pPr>
        <w:pStyle w:val="ListParagraph"/>
        <w:spacing w:line="240" w:lineRule="auto"/>
        <w:jc w:val="center"/>
        <w:rPr>
          <w:rStyle w:val="hps"/>
          <w:rFonts w:cs="Times New Roman"/>
          <w:sz w:val="24"/>
          <w:szCs w:val="24"/>
          <w:lang w:val="en-US"/>
        </w:rPr>
      </w:pPr>
      <w:r w:rsidRPr="009374B8">
        <w:rPr>
          <w:rStyle w:val="hps"/>
          <w:rFonts w:cs="Times New Roman"/>
          <w:sz w:val="24"/>
          <w:szCs w:val="24"/>
          <w:lang w:val="en-US"/>
        </w:rPr>
        <w:t xml:space="preserve">6th Km </w:t>
      </w:r>
      <w:proofErr w:type="spellStart"/>
      <w:r w:rsidRPr="009374B8">
        <w:rPr>
          <w:rStyle w:val="hps"/>
          <w:rFonts w:cs="Times New Roman"/>
          <w:sz w:val="24"/>
          <w:szCs w:val="24"/>
          <w:lang w:val="en-US"/>
        </w:rPr>
        <w:t>Charilaou</w:t>
      </w:r>
      <w:proofErr w:type="spellEnd"/>
      <w:r w:rsidRPr="009374B8">
        <w:rPr>
          <w:rStyle w:val="hps"/>
          <w:rFonts w:cs="Times New Roman"/>
          <w:sz w:val="24"/>
          <w:szCs w:val="24"/>
          <w:lang w:val="en-US"/>
        </w:rPr>
        <w:t xml:space="preserve"> - </w:t>
      </w:r>
      <w:proofErr w:type="spellStart"/>
      <w:r w:rsidRPr="009374B8">
        <w:rPr>
          <w:rStyle w:val="hps"/>
          <w:rFonts w:cs="Times New Roman"/>
          <w:sz w:val="24"/>
          <w:szCs w:val="24"/>
          <w:lang w:val="en-US"/>
        </w:rPr>
        <w:t>Thermi</w:t>
      </w:r>
      <w:proofErr w:type="spellEnd"/>
      <w:r w:rsidRPr="009374B8">
        <w:rPr>
          <w:rStyle w:val="hps"/>
          <w:rFonts w:cs="Times New Roman"/>
          <w:sz w:val="24"/>
          <w:szCs w:val="24"/>
          <w:lang w:val="en-US"/>
        </w:rPr>
        <w:t xml:space="preserve"> Rd.</w:t>
      </w:r>
      <w:r>
        <w:rPr>
          <w:rStyle w:val="hps"/>
          <w:rFonts w:cs="Times New Roman"/>
          <w:sz w:val="24"/>
          <w:szCs w:val="24"/>
          <w:lang w:val="en-US"/>
        </w:rPr>
        <w:t xml:space="preserve"> </w:t>
      </w:r>
      <w:proofErr w:type="spellStart"/>
      <w:r w:rsidRPr="009374B8">
        <w:rPr>
          <w:rStyle w:val="hps"/>
          <w:rFonts w:cs="Times New Roman"/>
          <w:sz w:val="24"/>
          <w:szCs w:val="24"/>
          <w:lang w:val="en-US"/>
        </w:rPr>
        <w:t>Thermi</w:t>
      </w:r>
      <w:proofErr w:type="spellEnd"/>
      <w:r w:rsidRPr="009374B8">
        <w:rPr>
          <w:rStyle w:val="hps"/>
          <w:rFonts w:cs="Times New Roman"/>
          <w:sz w:val="24"/>
          <w:szCs w:val="24"/>
          <w:lang w:val="en-US"/>
        </w:rPr>
        <w:t>, Thessaloniki</w:t>
      </w:r>
      <w:r>
        <w:rPr>
          <w:rStyle w:val="hps"/>
          <w:rFonts w:cs="Times New Roman"/>
          <w:sz w:val="24"/>
          <w:szCs w:val="24"/>
          <w:lang w:val="en-US"/>
        </w:rPr>
        <w:t xml:space="preserve"> </w:t>
      </w:r>
      <w:r w:rsidRPr="009374B8">
        <w:rPr>
          <w:rStyle w:val="hps"/>
          <w:rFonts w:cs="Times New Roman"/>
          <w:sz w:val="24"/>
          <w:szCs w:val="24"/>
          <w:lang w:val="en-US"/>
        </w:rPr>
        <w:t>Macedonia</w:t>
      </w:r>
      <w:r>
        <w:rPr>
          <w:rStyle w:val="hps"/>
          <w:rFonts w:cs="Times New Roman"/>
          <w:sz w:val="24"/>
          <w:szCs w:val="24"/>
          <w:lang w:val="en-US"/>
        </w:rPr>
        <w:t xml:space="preserve"> </w:t>
      </w:r>
      <w:r w:rsidRPr="009374B8">
        <w:rPr>
          <w:rStyle w:val="hps"/>
          <w:rFonts w:cs="Times New Roman"/>
          <w:sz w:val="24"/>
          <w:szCs w:val="24"/>
          <w:lang w:val="en-US"/>
        </w:rPr>
        <w:t>57001</w:t>
      </w:r>
      <w:r>
        <w:rPr>
          <w:rStyle w:val="hps"/>
          <w:rFonts w:cs="Times New Roman"/>
          <w:sz w:val="24"/>
          <w:szCs w:val="24"/>
          <w:lang w:val="en-US"/>
        </w:rPr>
        <w:t xml:space="preserve"> </w:t>
      </w:r>
      <w:r w:rsidRPr="009374B8">
        <w:rPr>
          <w:rStyle w:val="hps"/>
          <w:rFonts w:cs="Times New Roman"/>
          <w:sz w:val="24"/>
          <w:szCs w:val="24"/>
          <w:lang w:val="en-US"/>
        </w:rPr>
        <w:t>Hellas</w:t>
      </w:r>
    </w:p>
    <w:p w14:paraId="47C26658" w14:textId="798B6B80" w:rsidR="00406EAA" w:rsidRP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sidRPr="005D1BEC">
        <w:rPr>
          <w:rStyle w:val="hps"/>
          <w:rFonts w:cs="Times New Roman"/>
          <w:sz w:val="24"/>
          <w:szCs w:val="24"/>
          <w:vertAlign w:val="superscript"/>
          <w:lang w:val="en-US"/>
        </w:rPr>
        <w:t xml:space="preserve"> </w:t>
      </w:r>
      <w:r w:rsidR="009374B8" w:rsidRPr="009374B8">
        <w:rPr>
          <w:rStyle w:val="hps"/>
          <w:rFonts w:cs="Times New Roman"/>
          <w:sz w:val="24"/>
          <w:szCs w:val="24"/>
          <w:lang w:val="en-US"/>
        </w:rPr>
        <w:t>School of Chemical Engineering, National Technical University of Athens (NTUA), GR-15780 Athens, Greece</w:t>
      </w:r>
    </w:p>
    <w:p w14:paraId="7D1D0008" w14:textId="6409F27A" w:rsidR="002937B1" w:rsidRPr="00082B23"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r w:rsidR="00082B23" w:rsidRPr="00082B23">
        <w:rPr>
          <w:i/>
          <w:lang w:val="en-US"/>
        </w:rPr>
        <w:t>skallivokas@certh.gr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5769945F" w:rsidR="002937B1" w:rsidRPr="005652D5"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5D1BEC">
        <w:rPr>
          <w:rStyle w:val="hps"/>
          <w:rFonts w:cs="Times New Roman"/>
          <w:b/>
          <w:szCs w:val="24"/>
          <w:lang w:val="en-US"/>
        </w:rPr>
        <w:t xml:space="preserve"> </w:t>
      </w:r>
    </w:p>
    <w:p w14:paraId="1A4A3B79" w14:textId="77777777" w:rsidR="00AB2958" w:rsidRDefault="00AB2958" w:rsidP="00AB2958">
      <w:pPr>
        <w:spacing w:after="20" w:line="240" w:lineRule="auto"/>
        <w:jc w:val="both"/>
        <w:rPr>
          <w:rStyle w:val="hps"/>
          <w:rFonts w:cs="Times New Roman"/>
          <w:szCs w:val="24"/>
          <w:lang w:val="en-US"/>
        </w:rPr>
      </w:pPr>
    </w:p>
    <w:p w14:paraId="1DBD5B1B" w14:textId="53552F79" w:rsidR="00CD0273" w:rsidRDefault="00D675BF" w:rsidP="00AB2958">
      <w:pPr>
        <w:spacing w:after="20" w:line="240" w:lineRule="auto"/>
        <w:jc w:val="both"/>
        <w:rPr>
          <w:rStyle w:val="hps"/>
          <w:rFonts w:cs="Times New Roman"/>
          <w:szCs w:val="24"/>
          <w:lang w:val="en-US"/>
        </w:rPr>
      </w:pPr>
      <w:r>
        <w:rPr>
          <w:rStyle w:val="hps"/>
          <w:rFonts w:cs="Times New Roman"/>
          <w:szCs w:val="24"/>
          <w:lang w:val="en-US"/>
        </w:rPr>
        <w:t>I</w:t>
      </w:r>
      <w:r w:rsidRPr="00D675BF">
        <w:rPr>
          <w:rStyle w:val="hps"/>
          <w:rFonts w:cs="Times New Roman"/>
          <w:szCs w:val="24"/>
          <w:lang w:val="en-US"/>
        </w:rPr>
        <w:t>nterfacial shear strength (IFSS)</w:t>
      </w:r>
      <w:r>
        <w:rPr>
          <w:rStyle w:val="hps"/>
          <w:rFonts w:cs="Times New Roman"/>
          <w:szCs w:val="24"/>
          <w:lang w:val="en-US"/>
        </w:rPr>
        <w:t xml:space="preserve"> </w:t>
      </w:r>
      <w:r w:rsidR="00CD0273" w:rsidRPr="00CD0273">
        <w:rPr>
          <w:rStyle w:val="hps"/>
          <w:rFonts w:cs="Times New Roman"/>
          <w:szCs w:val="24"/>
          <w:lang w:val="en-US"/>
        </w:rPr>
        <w:t>is a key property in the design of composites and nanocomposites</w:t>
      </w:r>
      <w:r w:rsidR="00225D44">
        <w:rPr>
          <w:rStyle w:val="hps"/>
          <w:rFonts w:cs="Times New Roman"/>
          <w:szCs w:val="24"/>
          <w:lang w:val="en-US"/>
        </w:rPr>
        <w:t>;</w:t>
      </w:r>
      <w:r w:rsidR="00CD0273" w:rsidRPr="00CD0273">
        <w:rPr>
          <w:rStyle w:val="hps"/>
          <w:rFonts w:cs="Times New Roman"/>
          <w:szCs w:val="24"/>
          <w:lang w:val="en-US"/>
        </w:rPr>
        <w:t xml:space="preserve"> </w:t>
      </w:r>
      <w:r w:rsidR="00225D44">
        <w:rPr>
          <w:rStyle w:val="hps"/>
          <w:rFonts w:cs="Times New Roman"/>
          <w:szCs w:val="24"/>
          <w:lang w:val="en-US"/>
        </w:rPr>
        <w:t>thus,</w:t>
      </w:r>
      <w:r w:rsidR="00CD0273" w:rsidRPr="00CD0273">
        <w:rPr>
          <w:rStyle w:val="hps"/>
          <w:rFonts w:cs="Times New Roman"/>
          <w:szCs w:val="24"/>
          <w:lang w:val="en-US"/>
        </w:rPr>
        <w:t xml:space="preserve"> a </w:t>
      </w:r>
      <w:r w:rsidR="00675947">
        <w:rPr>
          <w:rStyle w:val="hps"/>
          <w:rFonts w:cs="Times New Roman"/>
          <w:szCs w:val="24"/>
          <w:lang w:val="en-US"/>
        </w:rPr>
        <w:t xml:space="preserve">method for its </w:t>
      </w:r>
      <w:r w:rsidR="00CD0273" w:rsidRPr="00CD0273">
        <w:rPr>
          <w:rStyle w:val="hps"/>
          <w:rFonts w:cs="Times New Roman"/>
          <w:szCs w:val="24"/>
          <w:lang w:val="en-US"/>
        </w:rPr>
        <w:t xml:space="preserve">“bottom up” </w:t>
      </w:r>
      <w:r w:rsidR="00675947">
        <w:rPr>
          <w:rStyle w:val="hps"/>
          <w:rFonts w:cs="Times New Roman"/>
          <w:szCs w:val="24"/>
          <w:lang w:val="en-US"/>
        </w:rPr>
        <w:t>estimation from the chemical constitution of matrix and filler would be highly beneficial</w:t>
      </w:r>
      <w:r w:rsidR="00CD0273">
        <w:rPr>
          <w:rStyle w:val="hps"/>
          <w:rFonts w:cs="Times New Roman"/>
          <w:szCs w:val="24"/>
          <w:lang w:val="en-US"/>
        </w:rPr>
        <w:t xml:space="preserve">. </w:t>
      </w:r>
    </w:p>
    <w:p w14:paraId="6D02BA96" w14:textId="22D1AAED" w:rsidR="00055CAD" w:rsidRPr="005D1BEC" w:rsidRDefault="00AB2958" w:rsidP="00AB2958">
      <w:pPr>
        <w:spacing w:after="20" w:line="240" w:lineRule="auto"/>
        <w:jc w:val="both"/>
        <w:rPr>
          <w:rStyle w:val="hps"/>
          <w:rFonts w:cs="Times New Roman"/>
          <w:szCs w:val="24"/>
          <w:lang w:val="en-US"/>
        </w:rPr>
      </w:pPr>
      <w:r w:rsidRPr="00AB2958">
        <w:rPr>
          <w:rStyle w:val="hps"/>
          <w:rFonts w:cs="Times New Roman"/>
          <w:szCs w:val="24"/>
          <w:lang w:val="en-US"/>
        </w:rPr>
        <w:t xml:space="preserve">In this work we propose a </w:t>
      </w:r>
      <w:r w:rsidR="00675947">
        <w:rPr>
          <w:rStyle w:val="hps"/>
          <w:rFonts w:cs="Times New Roman"/>
          <w:szCs w:val="24"/>
          <w:lang w:val="en-US"/>
        </w:rPr>
        <w:t>new</w:t>
      </w:r>
      <w:r w:rsidR="00675947" w:rsidRPr="00AB2958">
        <w:rPr>
          <w:rStyle w:val="hps"/>
          <w:rFonts w:cs="Times New Roman"/>
          <w:szCs w:val="24"/>
          <w:lang w:val="en-US"/>
        </w:rPr>
        <w:t xml:space="preserve"> </w:t>
      </w:r>
      <w:r w:rsidRPr="00AB2958">
        <w:rPr>
          <w:rStyle w:val="hps"/>
          <w:rFonts w:cs="Times New Roman"/>
          <w:szCs w:val="24"/>
          <w:lang w:val="en-US"/>
        </w:rPr>
        <w:t xml:space="preserve">way to calculate the </w:t>
      </w:r>
      <w:r w:rsidR="00D675BF">
        <w:rPr>
          <w:rStyle w:val="hps"/>
          <w:rFonts w:cs="Times New Roman"/>
          <w:szCs w:val="24"/>
          <w:lang w:val="en-US"/>
        </w:rPr>
        <w:t>IFSS</w:t>
      </w:r>
      <w:r w:rsidRPr="00AB2958">
        <w:rPr>
          <w:rStyle w:val="hps"/>
          <w:rFonts w:cs="Times New Roman"/>
          <w:szCs w:val="24"/>
          <w:lang w:val="en-US"/>
        </w:rPr>
        <w:t xml:space="preserve"> </w:t>
      </w:r>
      <w:r w:rsidR="00675947">
        <w:rPr>
          <w:rStyle w:val="hps"/>
          <w:rFonts w:cs="Times New Roman"/>
          <w:szCs w:val="24"/>
          <w:lang w:val="en-US"/>
        </w:rPr>
        <w:t xml:space="preserve">from atomistic simulations </w:t>
      </w:r>
      <w:r w:rsidRPr="00AB2958">
        <w:rPr>
          <w:rStyle w:val="hps"/>
          <w:rFonts w:cs="Times New Roman"/>
          <w:szCs w:val="24"/>
          <w:lang w:val="en-US"/>
        </w:rPr>
        <w:t>through a statistical mechanics and kinetics approach</w:t>
      </w:r>
      <w:r w:rsidR="00675947">
        <w:rPr>
          <w:rStyle w:val="hps"/>
          <w:rFonts w:cs="Times New Roman"/>
          <w:szCs w:val="24"/>
          <w:lang w:val="en-US"/>
        </w:rPr>
        <w:t>.</w:t>
      </w:r>
      <w:r w:rsidR="00BB740F">
        <w:rPr>
          <w:rStyle w:val="hps"/>
          <w:rFonts w:cs="Times New Roman"/>
          <w:szCs w:val="24"/>
          <w:lang w:val="en-US"/>
        </w:rPr>
        <w:fldChar w:fldCharType="begin" w:fldLock="1"/>
      </w:r>
      <w:r w:rsidR="00A772C1">
        <w:rPr>
          <w:rStyle w:val="hps"/>
          <w:rFonts w:cs="Times New Roman"/>
          <w:szCs w:val="24"/>
          <w:lang w:val="en-US"/>
        </w:rPr>
        <w:instrText>ADDIN CSL_CITATION {"citationItems":[{"id":"ITEM-1","itemData":{"DOI":"10.1103/PhysRevE.102.030501","ISSN":"24700053","abstract":"Interfacial shear strength (IFSS) is a key property in the design of composites and nanocomposites. Many simulation studies quantify the interfacial characteristics of sandwichlike specimens in terms of the IFSS and pullout force; a common feature of these studies is that they employ finite model systems and are therefore subject to strong finite size effects. We propose an alternative approach which is applicable to both aperiodic and periodic computational specimens. The interfaces are subjected to multiple shear deformation simulations over a wide range of temperatures (T) and shear stresses (σzx). From these simulations we collect the failure times (tf); by analyzing them in the framework of an extended Boltzmann-Arrhenius-Zhurkov kinetic equation we derive the IFSS, the limiting stress for barrierless transitions, the activation energy, the activation volume for failure, the sliding velocities, and a local elastic shear modulus for the interface. We test our methodology on epoxy diglycidyl ether bisphenol F-diethyl toluene diamine interfaces in contact with (i) pristine graphene, (ii) graphene with single-atom vacancies, and (iii) graphene with hydroxyl-ΟΗ groups. Differences in the mechanism of interfacial failure among these three systems are discussed.","author":[{"dropping-particle":"V.","family":"Kallivokas","given":"Spyros","non-dropping-particle":"","parse-names":false,"suffix":""},{"dropping-particle":"","family":"Sgouros","given":"Aristotelis P.","non-dropping-particle":"","parse-names":false,"suffix":""},{"dropping-particle":"","family":"Theodorou","given":"Doros N.","non-dropping-particle":"","parse-names":false,"suffix":""}],"container-title":"Physical Review E","id":"ITEM-1","issue":"3","issued":{"date-parts":[["2020"]]},"title":"Kinetic concepts and local failure in the interfacial shear strength of epoxy-graphene nanocomposites","type":"article-journal","volume":"102"},"uris":["http://www.mendeley.com/documents/?uuid=f17c97d0-857d-31d6-bbb0-e16acf955107"]}],"mendeley":{"formattedCitation":"&lt;sup&gt;1&lt;/sup&gt;","plainTextFormattedCitation":"1","previouslyFormattedCitation":"&lt;sup&gt;2&lt;/sup&gt;"},"properties":{"noteIndex":0},"schema":"https://github.com/citation-style-language/schema/raw/master/csl-citation.json"}</w:instrText>
      </w:r>
      <w:r w:rsidR="00BB740F">
        <w:rPr>
          <w:rStyle w:val="hps"/>
          <w:rFonts w:cs="Times New Roman"/>
          <w:szCs w:val="24"/>
          <w:lang w:val="en-US"/>
        </w:rPr>
        <w:fldChar w:fldCharType="separate"/>
      </w:r>
      <w:r w:rsidR="00A772C1" w:rsidRPr="00A772C1">
        <w:rPr>
          <w:rStyle w:val="hps"/>
          <w:rFonts w:cs="Times New Roman"/>
          <w:noProof/>
          <w:szCs w:val="24"/>
          <w:vertAlign w:val="superscript"/>
          <w:lang w:val="en-US"/>
        </w:rPr>
        <w:t>1</w:t>
      </w:r>
      <w:r w:rsidR="00BB740F">
        <w:rPr>
          <w:rStyle w:val="hps"/>
          <w:rFonts w:cs="Times New Roman"/>
          <w:szCs w:val="24"/>
          <w:lang w:val="en-US"/>
        </w:rPr>
        <w:fldChar w:fldCharType="end"/>
      </w:r>
      <w:r w:rsidR="00675947">
        <w:rPr>
          <w:rStyle w:val="hps"/>
          <w:rFonts w:cs="Times New Roman"/>
          <w:szCs w:val="24"/>
          <w:lang w:val="en-US"/>
        </w:rPr>
        <w:t xml:space="preserve"> T</w:t>
      </w:r>
      <w:r w:rsidRPr="00AB2958">
        <w:rPr>
          <w:rStyle w:val="hps"/>
          <w:rFonts w:cs="Times New Roman"/>
          <w:szCs w:val="24"/>
          <w:lang w:val="en-US"/>
        </w:rPr>
        <w:t>his methodology is applicable in both periodic and aperiodic systems</w:t>
      </w:r>
      <w:r w:rsidR="00675947">
        <w:rPr>
          <w:rStyle w:val="hps"/>
          <w:rFonts w:cs="Times New Roman"/>
          <w:szCs w:val="24"/>
          <w:lang w:val="en-US"/>
        </w:rPr>
        <w:t xml:space="preserve">.  It </w:t>
      </w:r>
      <w:r w:rsidR="00225D44">
        <w:rPr>
          <w:rStyle w:val="hps"/>
          <w:rFonts w:cs="Times New Roman"/>
          <w:szCs w:val="24"/>
          <w:lang w:val="en-US"/>
        </w:rPr>
        <w:t xml:space="preserve">is based on conducting </w:t>
      </w:r>
      <w:r w:rsidR="00675947">
        <w:rPr>
          <w:rStyle w:val="hps"/>
          <w:rFonts w:cs="Times New Roman"/>
          <w:szCs w:val="24"/>
          <w:lang w:val="en-US"/>
        </w:rPr>
        <w:t>shear defo</w:t>
      </w:r>
      <w:r w:rsidR="00225D44">
        <w:rPr>
          <w:rStyle w:val="hps"/>
          <w:rFonts w:cs="Times New Roman"/>
          <w:szCs w:val="24"/>
          <w:lang w:val="en-US"/>
        </w:rPr>
        <w:t>rmation</w:t>
      </w:r>
      <w:r w:rsidR="00675947">
        <w:rPr>
          <w:rStyle w:val="hps"/>
          <w:rFonts w:cs="Times New Roman"/>
          <w:szCs w:val="24"/>
          <w:lang w:val="en-US"/>
        </w:rPr>
        <w:t xml:space="preserve"> </w:t>
      </w:r>
      <w:r w:rsidR="00225D44">
        <w:rPr>
          <w:rStyle w:val="hps"/>
          <w:rFonts w:cs="Times New Roman"/>
          <w:szCs w:val="24"/>
          <w:lang w:val="en-US"/>
        </w:rPr>
        <w:t xml:space="preserve">simulations </w:t>
      </w:r>
      <w:r w:rsidR="00675947">
        <w:rPr>
          <w:rStyle w:val="hps"/>
          <w:rFonts w:cs="Times New Roman"/>
          <w:szCs w:val="24"/>
          <w:lang w:val="en-US"/>
        </w:rPr>
        <w:t xml:space="preserve">of the interface over a wide range of temperatures and shear stresses </w:t>
      </w:r>
      <w:r w:rsidR="00225D44">
        <w:rPr>
          <w:rStyle w:val="hps"/>
          <w:rFonts w:cs="Times New Roman"/>
          <w:szCs w:val="24"/>
          <w:lang w:val="en-US"/>
        </w:rPr>
        <w:t xml:space="preserve">and interpreting the results </w:t>
      </w:r>
      <w:r w:rsidR="00AB3A6A">
        <w:rPr>
          <w:rStyle w:val="hps"/>
          <w:rFonts w:cs="Times New Roman"/>
          <w:szCs w:val="24"/>
          <w:lang w:val="en-US"/>
        </w:rPr>
        <w:t xml:space="preserve">in the framework of an extended </w:t>
      </w:r>
      <w:r w:rsidRPr="00AB2958">
        <w:rPr>
          <w:rStyle w:val="hps"/>
          <w:rFonts w:cs="Times New Roman"/>
          <w:szCs w:val="24"/>
          <w:lang w:val="en-US"/>
        </w:rPr>
        <w:t xml:space="preserve"> Boltzmann</w:t>
      </w:r>
      <w:r w:rsidR="00AB3A6A">
        <w:rPr>
          <w:rStyle w:val="hps"/>
          <w:rFonts w:cs="Times New Roman"/>
          <w:szCs w:val="24"/>
          <w:lang w:val="en-US"/>
        </w:rPr>
        <w:t>-</w:t>
      </w:r>
      <w:r w:rsidRPr="00AB2958">
        <w:rPr>
          <w:rStyle w:val="hps"/>
          <w:rFonts w:cs="Times New Roman"/>
          <w:szCs w:val="24"/>
          <w:lang w:val="en-US"/>
        </w:rPr>
        <w:t>Arrhenius</w:t>
      </w:r>
      <w:r w:rsidR="00AB3A6A">
        <w:rPr>
          <w:rStyle w:val="hps"/>
          <w:rFonts w:cs="Times New Roman"/>
          <w:szCs w:val="24"/>
          <w:lang w:val="en-US"/>
        </w:rPr>
        <w:t>-</w:t>
      </w:r>
      <w:proofErr w:type="spellStart"/>
      <w:r w:rsidRPr="00AB2958">
        <w:rPr>
          <w:rStyle w:val="hps"/>
          <w:rFonts w:cs="Times New Roman"/>
          <w:szCs w:val="24"/>
          <w:lang w:val="en-US"/>
        </w:rPr>
        <w:t>Zhurkov</w:t>
      </w:r>
      <w:proofErr w:type="spellEnd"/>
      <w:r w:rsidRPr="00AB2958">
        <w:rPr>
          <w:rStyle w:val="hps"/>
          <w:rFonts w:cs="Times New Roman"/>
          <w:szCs w:val="24"/>
          <w:lang w:val="en-US"/>
        </w:rPr>
        <w:t xml:space="preserve"> kinetic equation</w:t>
      </w:r>
      <w:r w:rsidR="00225D44">
        <w:rPr>
          <w:rStyle w:val="hps"/>
          <w:rFonts w:cs="Times New Roman"/>
          <w:szCs w:val="24"/>
          <w:lang w:val="en-US"/>
        </w:rPr>
        <w:t>.</w:t>
      </w:r>
      <w:r w:rsidR="00B65DEA">
        <w:rPr>
          <w:rStyle w:val="hps"/>
          <w:rFonts w:cs="Times New Roman"/>
          <w:szCs w:val="24"/>
          <w:lang w:val="en-US"/>
        </w:rPr>
        <w:fldChar w:fldCharType="begin" w:fldLock="1"/>
      </w:r>
      <w:r w:rsidR="00A772C1">
        <w:rPr>
          <w:rStyle w:val="hps"/>
          <w:rFonts w:cs="Times New Roman"/>
          <w:szCs w:val="24"/>
          <w:lang w:val="en-US"/>
        </w:rPr>
        <w:instrText>ADDIN CSL_CITATION {"citationItems":[{"id":"ITEM-1","itemData":{"author":[{"dropping-particle":"","family":"S.N. Zhurkov","given":"","non-dropping-particle":"","parse-names":false,"suffix":""}],"container-title":"International Journal of Fracture Mechanics","id":"ITEM-1","issue":"11","issued":{"date-parts":[["1965"]]},"page":"311-322","title":"Kinetic concept of the strength of solids","type":"article","volume":"1"},"uris":["http://www.mendeley.com/documents/?uuid=c1eebb1e-7560-46dc-9998-3e1da1fca46a"]}],"mendeley":{"formattedCitation":"&lt;sup&gt;2&lt;/sup&gt;","plainTextFormattedCitation":"2","previouslyFormattedCitation":"&lt;sup&gt;3&lt;/sup&gt;"},"properties":{"noteIndex":0},"schema":"https://github.com/citation-style-language/schema/raw/master/csl-citation.json"}</w:instrText>
      </w:r>
      <w:r w:rsidR="00B65DEA">
        <w:rPr>
          <w:rStyle w:val="hps"/>
          <w:rFonts w:cs="Times New Roman"/>
          <w:szCs w:val="24"/>
          <w:lang w:val="en-US"/>
        </w:rPr>
        <w:fldChar w:fldCharType="separate"/>
      </w:r>
      <w:r w:rsidR="00A772C1" w:rsidRPr="00A772C1">
        <w:rPr>
          <w:rStyle w:val="hps"/>
          <w:rFonts w:cs="Times New Roman"/>
          <w:noProof/>
          <w:szCs w:val="24"/>
          <w:vertAlign w:val="superscript"/>
          <w:lang w:val="en-US"/>
        </w:rPr>
        <w:t>2</w:t>
      </w:r>
      <w:r w:rsidR="00B65DEA">
        <w:rPr>
          <w:rStyle w:val="hps"/>
          <w:rFonts w:cs="Times New Roman"/>
          <w:szCs w:val="24"/>
          <w:lang w:val="en-US"/>
        </w:rPr>
        <w:fldChar w:fldCharType="end"/>
      </w:r>
      <w:r w:rsidRPr="00AB2958">
        <w:rPr>
          <w:rStyle w:val="hps"/>
          <w:rFonts w:cs="Times New Roman"/>
          <w:szCs w:val="24"/>
          <w:lang w:val="en-US"/>
        </w:rPr>
        <w:t xml:space="preserve"> </w:t>
      </w:r>
      <w:r w:rsidR="00225D44">
        <w:rPr>
          <w:rStyle w:val="hps"/>
          <w:rFonts w:cs="Times New Roman"/>
          <w:szCs w:val="24"/>
          <w:lang w:val="en-US"/>
        </w:rPr>
        <w:t xml:space="preserve"> Thus, it is</w:t>
      </w:r>
      <w:r w:rsidR="00AB3A6A">
        <w:rPr>
          <w:rStyle w:val="hps"/>
          <w:rFonts w:cs="Times New Roman"/>
          <w:szCs w:val="24"/>
          <w:lang w:val="en-US"/>
        </w:rPr>
        <w:t xml:space="preserve"> </w:t>
      </w:r>
      <w:r w:rsidRPr="00AB2958">
        <w:rPr>
          <w:rStyle w:val="hps"/>
          <w:rFonts w:cs="Times New Roman"/>
          <w:szCs w:val="24"/>
          <w:lang w:val="en-US"/>
        </w:rPr>
        <w:t xml:space="preserve">able to </w:t>
      </w:r>
      <w:r w:rsidR="00AB3A6A">
        <w:rPr>
          <w:rStyle w:val="hps"/>
          <w:rFonts w:cs="Times New Roman"/>
          <w:szCs w:val="24"/>
          <w:lang w:val="en-US"/>
        </w:rPr>
        <w:t xml:space="preserve">capture </w:t>
      </w:r>
      <w:r w:rsidRPr="00AB2958">
        <w:rPr>
          <w:rStyle w:val="hps"/>
          <w:rFonts w:cs="Times New Roman"/>
          <w:szCs w:val="24"/>
          <w:lang w:val="en-US"/>
        </w:rPr>
        <w:t>both the long time (rare event) and short time</w:t>
      </w:r>
      <w:r w:rsidR="00AB3A6A">
        <w:rPr>
          <w:rStyle w:val="hps"/>
          <w:rFonts w:cs="Times New Roman"/>
          <w:szCs w:val="24"/>
          <w:lang w:val="en-US"/>
        </w:rPr>
        <w:t xml:space="preserve"> characteristics of interfacial failure</w:t>
      </w:r>
      <w:r w:rsidRPr="00AB2958">
        <w:rPr>
          <w:rStyle w:val="hps"/>
          <w:rFonts w:cs="Times New Roman"/>
          <w:szCs w:val="24"/>
          <w:lang w:val="en-US"/>
        </w:rPr>
        <w:t>.</w:t>
      </w:r>
      <w:r>
        <w:rPr>
          <w:rStyle w:val="hps"/>
          <w:rFonts w:cs="Times New Roman"/>
          <w:szCs w:val="24"/>
          <w:lang w:val="en-US"/>
        </w:rPr>
        <w:t xml:space="preserve"> </w:t>
      </w:r>
      <w:r w:rsidR="00AB3A6A">
        <w:rPr>
          <w:rStyle w:val="hps"/>
          <w:rFonts w:cs="Times New Roman"/>
          <w:szCs w:val="24"/>
          <w:lang w:val="en-US"/>
        </w:rPr>
        <w:t xml:space="preserve"> </w:t>
      </w:r>
      <w:r w:rsidRPr="00AB2958">
        <w:rPr>
          <w:rStyle w:val="hps"/>
          <w:rFonts w:cs="Times New Roman"/>
          <w:szCs w:val="24"/>
          <w:lang w:val="en-US"/>
        </w:rPr>
        <w:t>As realistic mo</w:t>
      </w:r>
      <w:r w:rsidR="009C4DF6">
        <w:rPr>
          <w:rStyle w:val="hps"/>
          <w:rFonts w:cs="Times New Roman"/>
          <w:szCs w:val="24"/>
          <w:lang w:val="en-US"/>
        </w:rPr>
        <w:t>del</w:t>
      </w:r>
      <w:r w:rsidR="00AB3A6A">
        <w:rPr>
          <w:rStyle w:val="hps"/>
          <w:rFonts w:cs="Times New Roman"/>
          <w:szCs w:val="24"/>
          <w:lang w:val="en-US"/>
        </w:rPr>
        <w:t>s</w:t>
      </w:r>
      <w:r w:rsidR="009C4DF6">
        <w:rPr>
          <w:rStyle w:val="hps"/>
          <w:rFonts w:cs="Times New Roman"/>
          <w:szCs w:val="24"/>
          <w:lang w:val="en-US"/>
        </w:rPr>
        <w:t xml:space="preserve"> to test our new methodol</w:t>
      </w:r>
      <w:r w:rsidR="00225D44">
        <w:rPr>
          <w:rStyle w:val="hps"/>
          <w:rFonts w:cs="Times New Roman"/>
          <w:szCs w:val="24"/>
          <w:lang w:val="en-US"/>
        </w:rPr>
        <w:t>o</w:t>
      </w:r>
      <w:r w:rsidR="009C4DF6">
        <w:rPr>
          <w:rStyle w:val="hps"/>
          <w:rFonts w:cs="Times New Roman"/>
          <w:szCs w:val="24"/>
          <w:lang w:val="en-US"/>
        </w:rPr>
        <w:t>gy and equation</w:t>
      </w:r>
      <w:r w:rsidRPr="00AB2958">
        <w:rPr>
          <w:rStyle w:val="hps"/>
          <w:rFonts w:cs="Times New Roman"/>
          <w:szCs w:val="24"/>
          <w:lang w:val="en-US"/>
        </w:rPr>
        <w:t xml:space="preserve"> we use  epoxy/graphene nanocomposite</w:t>
      </w:r>
      <w:r w:rsidR="00AB3A6A">
        <w:rPr>
          <w:rStyle w:val="hps"/>
          <w:rFonts w:cs="Times New Roman"/>
          <w:szCs w:val="24"/>
          <w:lang w:val="en-US"/>
        </w:rPr>
        <w:t>s</w:t>
      </w:r>
      <w:r w:rsidRPr="00AB2958">
        <w:rPr>
          <w:rStyle w:val="hps"/>
          <w:rFonts w:cs="Times New Roman"/>
          <w:szCs w:val="24"/>
          <w:lang w:val="en-US"/>
        </w:rPr>
        <w:t xml:space="preserve"> </w:t>
      </w:r>
      <w:r w:rsidR="00AB3A6A">
        <w:rPr>
          <w:rStyle w:val="hps"/>
          <w:rFonts w:cs="Times New Roman"/>
          <w:szCs w:val="24"/>
          <w:lang w:val="en-US"/>
        </w:rPr>
        <w:t>with three types of graphene: pristine, defective, and oxidized.</w:t>
      </w:r>
      <w:r w:rsidR="00D675BF">
        <w:rPr>
          <w:rStyle w:val="hps"/>
          <w:rFonts w:cs="Times New Roman"/>
          <w:szCs w:val="24"/>
          <w:lang w:val="en-US"/>
        </w:rPr>
        <w:fldChar w:fldCharType="begin" w:fldLock="1"/>
      </w:r>
      <w:r w:rsidR="00A772C1">
        <w:rPr>
          <w:rStyle w:val="hps"/>
          <w:rFonts w:cs="Times New Roman"/>
          <w:szCs w:val="24"/>
          <w:lang w:val="en-US"/>
        </w:rPr>
        <w:instrText>ADDIN CSL_CITATION {"citationItems":[{"id":"ITEM-1","itemData":{"DOI":"10.1039/C8SM02071J","ISSN":"17446848","abstract":"Structural, topological, mechanical and dynamical properties of EPON-862/DETDA epoxy networks are investigated with Molecular Dynamics (MD) simulations. The epoxy networks are composed of the resin Diglycidyl Ether Bisphenol F (DGEBF), also known as EPON-862, and the hardener Diethyl Toluene Diamine (DETDA). Systems with four different crosslinking degrees are examined; the effect of the degree of crosslinking on studied properties is thus determined. The computed quantities are retrieved by employing several simulation strategies and numerical methods of statistical mechanics in order to gain a rigorous and solid understanding of the aforementioned properties as well as to assess the accuracy and applicability of the methods employed. We quantify and analyze the local structure of the EPON-862/DETDA epoxy networks through the partial pair distribution functions, the Faber—Ziman partial structure factors and through simulated X-ray diffraction patterns, demonstrating good agreement with an experimental spectrum from a similar epoxy resin. The topology of the networks is examined with the aim of assessing percolation of connectivity, the properties of network fragments (subnetworks), and the distribution of functionalities of the crosslinks. The elastic constants of the systems are retrieved by employing two equilibrium (analysis of volume fluctuations, Parrinello-Rahman strain fluctuation relation) and one nonequilibrium (uniaxial tension/compression deformations at prescribed rate) method. Finally, the glass temperatures of the systems are estimated by calculating the density as a function of temperature and by analyzing the reorientational dynamics of bond vectors which describe relaxation processes at the segment level.","author":[{"dropping-particle":"","family":"Kallivokas","given":"S.V.","non-dropping-particle":"","parse-names":false,"suffix":""},{"dropping-particle":"","family":"Sgouros","given":"A.P.","non-dropping-particle":"","parse-names":false,"suffix":""},{"dropping-particle":"","family":"Theodorou","given":"D.N.","non-dropping-particle":"","parse-names":false,"suffix":""}],"container-title":"Soft Matter","id":"ITEM-1","issue":"4","issued":{"date-parts":[["2019"]]},"page":"721-733","title":"Molecular dynamics simulations of EPON-862/DETDA epoxy networks: structure, topology, elastic constants, and local dynamics","type":"article-journal","volume":"15"},"uris":["http://www.mendeley.com/documents/?uuid=6bc5d26b-2de6-30c8-bfff-6cb0e1413069"]},{"id":"ITEM-2","itemData":{"DOI":"10.1038/nmat1849","ISSN":"1476-4660","abstract":"Graphene is a rapidly rising star on the horizon of materials science and condensed-matter physics. This strictly two-dimensional material exhibits exceptionally high crystal and electronic quality, and, despite its short history, has already revealed a cornucopia of new physics and potential applications, which are briefly discussed here. Whereas one can be certain of the realness of applications only when commercial products appear, graphene no longer requires any further proof of its importance in terms of fundamental physics. Owing to its unusual electronic spectrum, graphene has led to the emergence of a new paradigm of 'relativistic' condensed-matter physics, where quantum relativistic phenomena, some of which are unobservable in high-energy physics, can now be mimicked and tested in table-top experiments. More generally, graphene represents a conceptually new class of materials that are only one atom thick, and, on this basis, offers new inroads into low-dimensional physics that has never ceased to surprise and continues to provide a fertile ground for applications.","author":[{"dropping-particle":"","family":"Geim","given":"A K","non-dropping-particle":"","parse-names":false,"suffix":""},{"dropping-particle":"","family":"Novoselov","given":"K S","non-dropping-particle":"","parse-names":false,"suffix":""}],"container-title":"Nature Materials","id":"ITEM-2","issue":"3","issued":{"date-parts":[["2007"]]},"page":"183-191","title":"The rise of graphene","type":"article-journal","volume":"6"},"uris":["http://www.mendeley.com/documents/?uuid=fb9a9cb6-7704-45ee-8e1c-241d9ebf61ea"]}],"mendeley":{"formattedCitation":"&lt;sup&gt;3,4&lt;/sup&gt;","plainTextFormattedCitation":"3,4","previouslyFormattedCitation":"&lt;sup&gt;4,5&lt;/sup&gt;"},"properties":{"noteIndex":0},"schema":"https://github.com/citation-style-language/schema/raw/master/csl-citation.json"}</w:instrText>
      </w:r>
      <w:r w:rsidR="00D675BF">
        <w:rPr>
          <w:rStyle w:val="hps"/>
          <w:rFonts w:cs="Times New Roman"/>
          <w:szCs w:val="24"/>
          <w:lang w:val="en-US"/>
        </w:rPr>
        <w:fldChar w:fldCharType="separate"/>
      </w:r>
      <w:r w:rsidR="00A772C1" w:rsidRPr="00A772C1">
        <w:rPr>
          <w:rStyle w:val="hps"/>
          <w:rFonts w:cs="Times New Roman"/>
          <w:noProof/>
          <w:szCs w:val="24"/>
          <w:vertAlign w:val="superscript"/>
          <w:lang w:val="en-US"/>
        </w:rPr>
        <w:t>3,4</w:t>
      </w:r>
      <w:r w:rsidR="00D675BF">
        <w:rPr>
          <w:rStyle w:val="hps"/>
          <w:rFonts w:cs="Times New Roman"/>
          <w:szCs w:val="24"/>
          <w:lang w:val="en-US"/>
        </w:rPr>
        <w:fldChar w:fldCharType="end"/>
      </w:r>
      <w:r w:rsidR="0035359A">
        <w:rPr>
          <w:rStyle w:val="hps"/>
          <w:rFonts w:cs="Times New Roman"/>
          <w:szCs w:val="24"/>
          <w:lang w:val="en-US"/>
        </w:rPr>
        <w:t xml:space="preserve"> </w:t>
      </w:r>
      <w:r w:rsidR="00AB3A6A">
        <w:rPr>
          <w:rStyle w:val="hps"/>
          <w:rFonts w:cs="Times New Roman"/>
          <w:szCs w:val="24"/>
          <w:lang w:val="en-US"/>
        </w:rPr>
        <w:t xml:space="preserve"> In addition to the IFSS, we </w:t>
      </w:r>
      <w:r w:rsidR="0035359A">
        <w:rPr>
          <w:rStyle w:val="hps"/>
          <w:rFonts w:cs="Times New Roman"/>
          <w:szCs w:val="24"/>
          <w:lang w:val="en-US"/>
        </w:rPr>
        <w:t xml:space="preserve">calculate the local shear modulus, which is </w:t>
      </w:r>
      <w:r w:rsidR="00AB3A6A">
        <w:rPr>
          <w:rStyle w:val="hps"/>
          <w:rFonts w:cs="Times New Roman"/>
          <w:szCs w:val="24"/>
          <w:lang w:val="en-US"/>
        </w:rPr>
        <w:t xml:space="preserve">comparable to the </w:t>
      </w:r>
      <w:r w:rsidR="0035359A">
        <w:rPr>
          <w:rStyle w:val="hps"/>
          <w:rFonts w:cs="Times New Roman"/>
          <w:szCs w:val="24"/>
          <w:lang w:val="en-US"/>
        </w:rPr>
        <w:t xml:space="preserve">Winkler modulus, and validate </w:t>
      </w:r>
      <w:r w:rsidR="00AB3A6A">
        <w:rPr>
          <w:rStyle w:val="hps"/>
          <w:rFonts w:cs="Times New Roman"/>
          <w:szCs w:val="24"/>
          <w:lang w:val="en-US"/>
        </w:rPr>
        <w:t>our results against experiment.</w:t>
      </w:r>
      <w:r w:rsidR="0035359A">
        <w:rPr>
          <w:rStyle w:val="hps"/>
          <w:rFonts w:cs="Times New Roman"/>
          <w:szCs w:val="24"/>
          <w:lang w:val="en-US"/>
        </w:rPr>
        <w:fldChar w:fldCharType="begin" w:fldLock="1"/>
      </w:r>
      <w:r w:rsidR="00A772C1">
        <w:rPr>
          <w:rStyle w:val="hps"/>
          <w:rFonts w:cs="Times New Roman"/>
          <w:szCs w:val="24"/>
          <w:lang w:val="en-US"/>
        </w:rPr>
        <w:instrText xml:space="preserve">ADDIN CSL_CITATION {"citationItems":[{"id":"ITEM-1","itemData":{"DOI":"10.1039/c7nr06463b","ISSN":"20403372","abstract":"Wrinkles in supported graphenes can be formed either by uniaxial compression or uniaxial tension beyond a certain critical load depending on the mode of loading. In the first case, the wrinkling direction is normal to the compression axis whereas in tension, wrinkles of the same pattern are formed parallel to the loading direction due to Poisson's (lateral) contraction. Herein we show by direct AFM observations that in simply-supported graphenes such instabilities appear as periodic wrinkles over existing stochastic undulations caused by the underlying-substrate-roughness. The critical strain for the generation of these wrinkles in both tension and compression is less than 1% which particularly for the former is far lower than the predicted tensile strain to fracture of suspended graphene estimated at </w:instrText>
      </w:r>
      <w:r w:rsidR="00A772C1">
        <w:rPr>
          <w:rStyle w:val="hps"/>
          <w:rFonts w:ascii="Cambria Math" w:hAnsi="Cambria Math" w:cs="Cambria Math"/>
          <w:szCs w:val="24"/>
          <w:lang w:val="en-US"/>
        </w:rPr>
        <w:instrText>∼</w:instrText>
      </w:r>
      <w:r w:rsidR="00A772C1">
        <w:rPr>
          <w:rStyle w:val="hps"/>
          <w:rFonts w:cs="Times New Roman"/>
          <w:szCs w:val="24"/>
          <w:lang w:val="en-US"/>
        </w:rPr>
        <w:instrText>30%. Based on these findings, a constitutive model that provides the critical tensile strain for induced buckling in the lateral direction is proposed that depends only on the graphene-support interaction and not on the nature of the substrate. Understanding the wrinkling failure of graphenes under strain is of paramount importance as it leads to new threshold limits beyond which the physical-mechanical properties of graphene are impaired.","author":[{"dropping-particle":"","family":"Androulidakis","given":"Ch","non-dropping-particle":"","parse-names":false,"suffix":""},{"dropping-particle":"","family":"Koukaras","given":"E. N.","non-dropping-particle":"","parse-names":false,"suffix":""},{"dropping-particle":"","family":"Pastore Carbone","given":"M. G.","non-dropping-particle":"","parse-names":false,"suffix":""},{"dropping-particle":"","family":"Hadjinicolaou","given":"M.","non-dropping-particle":"","parse-names":false,"suffix":""},{"dropping-particle":"","family":"Galiotis","given":"C.","non-dropping-particle":"","parse-names":false,"suffix":""}],"container-title":"Nanoscale","id":"ITEM-1","issue":"46","issued":{"date-parts":[["2017"]]},"page":"18180-18188","title":"Wrinkling formation in simply-supported graphenes under tension and compression loadings","type":"article-journal","volume":"9"},"uris":["http://www.mendeley.com/documents/?uuid=c6d6e01b-eb90-4071-a7a3-0d1ede2cb12d"]}],"mendeley":{"formattedCitation":"&lt;sup&gt;5&lt;/sup&gt;","plainTextFormattedCitation":"5","previouslyFormattedCitation":"&lt;sup&gt;6&lt;/sup&gt;"},"properties":{"noteIndex":0},"schema":"https://github.com/citation-style-language/schema/raw/master/csl-citation.json"}</w:instrText>
      </w:r>
      <w:r w:rsidR="0035359A">
        <w:rPr>
          <w:rStyle w:val="hps"/>
          <w:rFonts w:cs="Times New Roman"/>
          <w:szCs w:val="24"/>
          <w:lang w:val="en-US"/>
        </w:rPr>
        <w:fldChar w:fldCharType="separate"/>
      </w:r>
      <w:r w:rsidR="00A772C1" w:rsidRPr="00A772C1">
        <w:rPr>
          <w:rStyle w:val="hps"/>
          <w:rFonts w:cs="Times New Roman"/>
          <w:noProof/>
          <w:szCs w:val="24"/>
          <w:vertAlign w:val="superscript"/>
          <w:lang w:val="en-US"/>
        </w:rPr>
        <w:t>5</w:t>
      </w:r>
      <w:r w:rsidR="0035359A">
        <w:rPr>
          <w:rStyle w:val="hps"/>
          <w:rFonts w:cs="Times New Roman"/>
          <w:szCs w:val="24"/>
          <w:lang w:val="en-US"/>
        </w:rPr>
        <w:fldChar w:fldCharType="end"/>
      </w:r>
    </w:p>
    <w:p w14:paraId="47CE261A" w14:textId="2610EB38" w:rsidR="00055CAD" w:rsidRPr="005D1BEC" w:rsidRDefault="00055CAD" w:rsidP="00055CAD">
      <w:pPr>
        <w:spacing w:after="20" w:line="240" w:lineRule="auto"/>
        <w:jc w:val="both"/>
        <w:rPr>
          <w:rStyle w:val="hps"/>
          <w:rFonts w:cs="Times New Roman"/>
          <w:szCs w:val="24"/>
          <w:lang w:val="en-US"/>
        </w:rPr>
      </w:pPr>
    </w:p>
    <w:p w14:paraId="2A6E70CF" w14:textId="7EBD22AA" w:rsidR="00670DAB" w:rsidRPr="009C4DF6" w:rsidRDefault="00411CC6" w:rsidP="009C4DF6">
      <w:pPr>
        <w:spacing w:after="20" w:line="240" w:lineRule="auto"/>
        <w:jc w:val="both"/>
        <w:rPr>
          <w:rFonts w:cs="Times New Roman"/>
          <w:szCs w:val="24"/>
          <w:lang w:val="en-US"/>
        </w:rPr>
      </w:pPr>
      <w:r>
        <w:rPr>
          <w:rFonts w:cs="Times New Roman"/>
          <w:b/>
          <w:bCs/>
          <w:szCs w:val="24"/>
          <w:lang w:val="en-US"/>
        </w:rPr>
        <w:t>KEYWORDS</w:t>
      </w:r>
      <w:r w:rsidR="00ED7AD7" w:rsidRPr="005D1BEC">
        <w:rPr>
          <w:rFonts w:cs="Times New Roman"/>
          <w:b/>
          <w:bCs/>
          <w:szCs w:val="24"/>
          <w:lang w:val="en-US"/>
        </w:rPr>
        <w:t>:</w:t>
      </w:r>
      <w:r w:rsidR="00DE346C" w:rsidRPr="005D1BEC">
        <w:rPr>
          <w:rFonts w:cs="Times New Roman"/>
          <w:b/>
          <w:bCs/>
          <w:szCs w:val="24"/>
          <w:lang w:val="en-US"/>
        </w:rPr>
        <w:t xml:space="preserve"> </w:t>
      </w:r>
      <w:r w:rsidR="009C4DF6" w:rsidRPr="009C4DF6">
        <w:rPr>
          <w:rFonts w:cs="Times New Roman"/>
          <w:sz w:val="20"/>
          <w:szCs w:val="20"/>
          <w:lang w:val="en-US"/>
        </w:rPr>
        <w:t>Adhesion, Fracture, Composite materials, Interfaces, Rare event statistics</w:t>
      </w:r>
      <w:r w:rsidR="00ED7AD7" w:rsidRPr="005D1BEC">
        <w:rPr>
          <w:rFonts w:cs="Times New Roman"/>
          <w:b/>
          <w:bCs/>
          <w:szCs w:val="24"/>
          <w:lang w:val="en-US"/>
        </w:rPr>
        <w:t xml:space="preserve"> </w:t>
      </w:r>
    </w:p>
    <w:p w14:paraId="71B43080" w14:textId="28B5A4C6" w:rsidR="000E7582" w:rsidRPr="005D1BEC" w:rsidRDefault="000E7582" w:rsidP="00055CAD">
      <w:pPr>
        <w:spacing w:after="20" w:line="240" w:lineRule="auto"/>
        <w:jc w:val="both"/>
        <w:rPr>
          <w:rFonts w:cs="Times New Roman"/>
          <w:b/>
          <w:bCs/>
          <w:szCs w:val="24"/>
          <w:lang w:val="en-US"/>
        </w:rPr>
      </w:pPr>
    </w:p>
    <w:p w14:paraId="5B7F0696" w14:textId="3F28C36F" w:rsidR="000E7582"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006905C2" w14:textId="77777777" w:rsidR="00D675BF" w:rsidRPr="00650F36" w:rsidRDefault="00D675BF" w:rsidP="00055CAD">
      <w:pPr>
        <w:spacing w:after="20" w:line="240" w:lineRule="auto"/>
        <w:jc w:val="both"/>
        <w:rPr>
          <w:rFonts w:cs="Times New Roman"/>
          <w:b/>
          <w:bCs/>
          <w:szCs w:val="24"/>
          <w:lang w:val="en-US"/>
        </w:rPr>
      </w:pPr>
    </w:p>
    <w:p w14:paraId="1339120B" w14:textId="5E5E8C33" w:rsidR="00A772C1" w:rsidRPr="00A772C1" w:rsidRDefault="00D675BF" w:rsidP="00A772C1">
      <w:pPr>
        <w:widowControl w:val="0"/>
        <w:autoSpaceDE w:val="0"/>
        <w:autoSpaceDN w:val="0"/>
        <w:adjustRightInd w:val="0"/>
        <w:spacing w:after="20" w:line="240" w:lineRule="auto"/>
        <w:ind w:left="640" w:hanging="640"/>
        <w:rPr>
          <w:rFonts w:ascii="Calibri" w:hAnsi="Calibri" w:cs="Calibri"/>
          <w:noProof/>
          <w:szCs w:val="24"/>
        </w:rPr>
      </w:pPr>
      <w:r>
        <w:rPr>
          <w:rStyle w:val="hps"/>
          <w:rFonts w:cs="Times New Roman"/>
          <w:bCs/>
          <w:szCs w:val="24"/>
          <w:lang w:val="en-US"/>
        </w:rPr>
        <w:fldChar w:fldCharType="begin" w:fldLock="1"/>
      </w:r>
      <w:r>
        <w:rPr>
          <w:rStyle w:val="hps"/>
          <w:rFonts w:cs="Times New Roman"/>
          <w:bCs/>
          <w:szCs w:val="24"/>
          <w:lang w:val="en-US"/>
        </w:rPr>
        <w:instrText xml:space="preserve">ADDIN Mendeley Bibliography CSL_BIBLIOGRAPHY </w:instrText>
      </w:r>
      <w:r>
        <w:rPr>
          <w:rStyle w:val="hps"/>
          <w:rFonts w:cs="Times New Roman"/>
          <w:bCs/>
          <w:szCs w:val="24"/>
          <w:lang w:val="en-US"/>
        </w:rPr>
        <w:fldChar w:fldCharType="separate"/>
      </w:r>
      <w:r w:rsidR="00A772C1" w:rsidRPr="00A772C1">
        <w:rPr>
          <w:rFonts w:ascii="Calibri" w:hAnsi="Calibri" w:cs="Calibri"/>
          <w:noProof/>
          <w:szCs w:val="24"/>
        </w:rPr>
        <w:t>1</w:t>
      </w:r>
      <w:r w:rsidR="00A772C1" w:rsidRPr="00A772C1">
        <w:rPr>
          <w:rFonts w:ascii="Calibri" w:hAnsi="Calibri" w:cs="Calibri"/>
          <w:noProof/>
          <w:szCs w:val="24"/>
        </w:rPr>
        <w:tab/>
        <w:t xml:space="preserve">S. V. Kallivokas, A. P. Sgouros and D. N. Theodorou, </w:t>
      </w:r>
      <w:r w:rsidR="00A772C1" w:rsidRPr="00A772C1">
        <w:rPr>
          <w:rFonts w:ascii="Calibri" w:hAnsi="Calibri" w:cs="Calibri"/>
          <w:i/>
          <w:iCs/>
          <w:noProof/>
          <w:szCs w:val="24"/>
        </w:rPr>
        <w:t xml:space="preserve">Phys. Rev. </w:t>
      </w:r>
      <w:bookmarkStart w:id="0" w:name="_GoBack"/>
      <w:bookmarkEnd w:id="0"/>
      <w:r w:rsidR="00780932" w:rsidRPr="00780932">
        <w:rPr>
          <w:rFonts w:ascii="Calibri" w:hAnsi="Calibri" w:cs="Calibri"/>
          <w:i/>
          <w:iCs/>
          <w:noProof/>
          <w:szCs w:val="24"/>
        </w:rPr>
        <w:t>E., 2020, 102, 030501(R)</w:t>
      </w:r>
    </w:p>
    <w:p w14:paraId="0F75FAA1" w14:textId="77777777" w:rsidR="00A772C1" w:rsidRPr="00A772C1" w:rsidRDefault="00A772C1" w:rsidP="00A772C1">
      <w:pPr>
        <w:widowControl w:val="0"/>
        <w:autoSpaceDE w:val="0"/>
        <w:autoSpaceDN w:val="0"/>
        <w:adjustRightInd w:val="0"/>
        <w:spacing w:after="20" w:line="240" w:lineRule="auto"/>
        <w:ind w:left="640" w:hanging="640"/>
        <w:rPr>
          <w:rFonts w:ascii="Calibri" w:hAnsi="Calibri" w:cs="Calibri"/>
          <w:noProof/>
          <w:szCs w:val="24"/>
        </w:rPr>
      </w:pPr>
      <w:r w:rsidRPr="00A772C1">
        <w:rPr>
          <w:rFonts w:ascii="Calibri" w:hAnsi="Calibri" w:cs="Calibri"/>
          <w:noProof/>
          <w:szCs w:val="24"/>
        </w:rPr>
        <w:t>2</w:t>
      </w:r>
      <w:r w:rsidRPr="00A772C1">
        <w:rPr>
          <w:rFonts w:ascii="Calibri" w:hAnsi="Calibri" w:cs="Calibri"/>
          <w:noProof/>
          <w:szCs w:val="24"/>
        </w:rPr>
        <w:tab/>
        <w:t xml:space="preserve">S.N. Zhurkov, </w:t>
      </w:r>
      <w:r w:rsidRPr="00A772C1">
        <w:rPr>
          <w:rFonts w:ascii="Calibri" w:hAnsi="Calibri" w:cs="Calibri"/>
          <w:i/>
          <w:iCs/>
          <w:noProof/>
          <w:szCs w:val="24"/>
        </w:rPr>
        <w:t>Int. J. Fract. Mech.</w:t>
      </w:r>
      <w:r w:rsidRPr="00A772C1">
        <w:rPr>
          <w:rFonts w:ascii="Calibri" w:hAnsi="Calibri" w:cs="Calibri"/>
          <w:noProof/>
          <w:szCs w:val="24"/>
        </w:rPr>
        <w:t>, 1965, 1, 311–322.</w:t>
      </w:r>
    </w:p>
    <w:p w14:paraId="3C1CA2AB" w14:textId="77777777" w:rsidR="00A772C1" w:rsidRPr="00A772C1" w:rsidRDefault="00A772C1" w:rsidP="00A772C1">
      <w:pPr>
        <w:widowControl w:val="0"/>
        <w:autoSpaceDE w:val="0"/>
        <w:autoSpaceDN w:val="0"/>
        <w:adjustRightInd w:val="0"/>
        <w:spacing w:after="20" w:line="240" w:lineRule="auto"/>
        <w:ind w:left="640" w:hanging="640"/>
        <w:rPr>
          <w:rFonts w:ascii="Calibri" w:hAnsi="Calibri" w:cs="Calibri"/>
          <w:noProof/>
          <w:szCs w:val="24"/>
        </w:rPr>
      </w:pPr>
      <w:r w:rsidRPr="00A772C1">
        <w:rPr>
          <w:rFonts w:ascii="Calibri" w:hAnsi="Calibri" w:cs="Calibri"/>
          <w:noProof/>
          <w:szCs w:val="24"/>
        </w:rPr>
        <w:t>3</w:t>
      </w:r>
      <w:r w:rsidRPr="00A772C1">
        <w:rPr>
          <w:rFonts w:ascii="Calibri" w:hAnsi="Calibri" w:cs="Calibri"/>
          <w:noProof/>
          <w:szCs w:val="24"/>
        </w:rPr>
        <w:tab/>
        <w:t xml:space="preserve">S. V. Kallivokas, A. P. Sgouros and D. N. Theodorou, </w:t>
      </w:r>
      <w:r w:rsidRPr="00A772C1">
        <w:rPr>
          <w:rFonts w:ascii="Calibri" w:hAnsi="Calibri" w:cs="Calibri"/>
          <w:i/>
          <w:iCs/>
          <w:noProof/>
          <w:szCs w:val="24"/>
        </w:rPr>
        <w:t>Soft Matter</w:t>
      </w:r>
      <w:r w:rsidRPr="00A772C1">
        <w:rPr>
          <w:rFonts w:ascii="Calibri" w:hAnsi="Calibri" w:cs="Calibri"/>
          <w:noProof/>
          <w:szCs w:val="24"/>
        </w:rPr>
        <w:t xml:space="preserve">, 2019, </w:t>
      </w:r>
      <w:r w:rsidRPr="00A772C1">
        <w:rPr>
          <w:rFonts w:ascii="Calibri" w:hAnsi="Calibri" w:cs="Calibri"/>
          <w:b/>
          <w:bCs/>
          <w:noProof/>
          <w:szCs w:val="24"/>
        </w:rPr>
        <w:t>15</w:t>
      </w:r>
      <w:r w:rsidRPr="00A772C1">
        <w:rPr>
          <w:rFonts w:ascii="Calibri" w:hAnsi="Calibri" w:cs="Calibri"/>
          <w:noProof/>
          <w:szCs w:val="24"/>
        </w:rPr>
        <w:t>, 721–733.</w:t>
      </w:r>
    </w:p>
    <w:p w14:paraId="31994C18" w14:textId="77777777" w:rsidR="00A772C1" w:rsidRPr="00A772C1" w:rsidRDefault="00A772C1" w:rsidP="00A772C1">
      <w:pPr>
        <w:widowControl w:val="0"/>
        <w:autoSpaceDE w:val="0"/>
        <w:autoSpaceDN w:val="0"/>
        <w:adjustRightInd w:val="0"/>
        <w:spacing w:after="20" w:line="240" w:lineRule="auto"/>
        <w:ind w:left="640" w:hanging="640"/>
        <w:rPr>
          <w:rFonts w:ascii="Calibri" w:hAnsi="Calibri" w:cs="Calibri"/>
          <w:noProof/>
          <w:szCs w:val="24"/>
        </w:rPr>
      </w:pPr>
      <w:r w:rsidRPr="00A772C1">
        <w:rPr>
          <w:rFonts w:ascii="Calibri" w:hAnsi="Calibri" w:cs="Calibri"/>
          <w:noProof/>
          <w:szCs w:val="24"/>
        </w:rPr>
        <w:t>4</w:t>
      </w:r>
      <w:r w:rsidRPr="00A772C1">
        <w:rPr>
          <w:rFonts w:ascii="Calibri" w:hAnsi="Calibri" w:cs="Calibri"/>
          <w:noProof/>
          <w:szCs w:val="24"/>
        </w:rPr>
        <w:tab/>
        <w:t xml:space="preserve">A. K. Geim and K. S. Novoselov, </w:t>
      </w:r>
      <w:r w:rsidRPr="00A772C1">
        <w:rPr>
          <w:rFonts w:ascii="Calibri" w:hAnsi="Calibri" w:cs="Calibri"/>
          <w:i/>
          <w:iCs/>
          <w:noProof/>
          <w:szCs w:val="24"/>
        </w:rPr>
        <w:t>Nat. Mater.</w:t>
      </w:r>
      <w:r w:rsidRPr="00A772C1">
        <w:rPr>
          <w:rFonts w:ascii="Calibri" w:hAnsi="Calibri" w:cs="Calibri"/>
          <w:noProof/>
          <w:szCs w:val="24"/>
        </w:rPr>
        <w:t xml:space="preserve">, 2007, </w:t>
      </w:r>
      <w:r w:rsidRPr="00A772C1">
        <w:rPr>
          <w:rFonts w:ascii="Calibri" w:hAnsi="Calibri" w:cs="Calibri"/>
          <w:b/>
          <w:bCs/>
          <w:noProof/>
          <w:szCs w:val="24"/>
        </w:rPr>
        <w:t>6</w:t>
      </w:r>
      <w:r w:rsidRPr="00A772C1">
        <w:rPr>
          <w:rFonts w:ascii="Calibri" w:hAnsi="Calibri" w:cs="Calibri"/>
          <w:noProof/>
          <w:szCs w:val="24"/>
        </w:rPr>
        <w:t>, 183–191.</w:t>
      </w:r>
    </w:p>
    <w:p w14:paraId="6109039E" w14:textId="77777777" w:rsidR="00A772C1" w:rsidRPr="00A772C1" w:rsidRDefault="00A772C1" w:rsidP="00A772C1">
      <w:pPr>
        <w:widowControl w:val="0"/>
        <w:autoSpaceDE w:val="0"/>
        <w:autoSpaceDN w:val="0"/>
        <w:adjustRightInd w:val="0"/>
        <w:spacing w:after="20" w:line="240" w:lineRule="auto"/>
        <w:ind w:left="640" w:hanging="640"/>
        <w:rPr>
          <w:rFonts w:ascii="Calibri" w:hAnsi="Calibri" w:cs="Calibri"/>
          <w:noProof/>
        </w:rPr>
      </w:pPr>
      <w:r w:rsidRPr="00A772C1">
        <w:rPr>
          <w:rFonts w:ascii="Calibri" w:hAnsi="Calibri" w:cs="Calibri"/>
          <w:noProof/>
          <w:szCs w:val="24"/>
        </w:rPr>
        <w:t>5</w:t>
      </w:r>
      <w:r w:rsidRPr="00A772C1">
        <w:rPr>
          <w:rFonts w:ascii="Calibri" w:hAnsi="Calibri" w:cs="Calibri"/>
          <w:noProof/>
          <w:szCs w:val="24"/>
        </w:rPr>
        <w:tab/>
        <w:t xml:space="preserve">C. Androulidakis, E. N. Koukaras, M. G. Pastore Carbone, M. Hadjinicolaou and C. Galiotis, </w:t>
      </w:r>
      <w:r w:rsidRPr="00A772C1">
        <w:rPr>
          <w:rFonts w:ascii="Calibri" w:hAnsi="Calibri" w:cs="Calibri"/>
          <w:i/>
          <w:iCs/>
          <w:noProof/>
          <w:szCs w:val="24"/>
        </w:rPr>
        <w:t>Nanoscale</w:t>
      </w:r>
      <w:r w:rsidRPr="00A772C1">
        <w:rPr>
          <w:rFonts w:ascii="Calibri" w:hAnsi="Calibri" w:cs="Calibri"/>
          <w:noProof/>
          <w:szCs w:val="24"/>
        </w:rPr>
        <w:t xml:space="preserve">, 2017, </w:t>
      </w:r>
      <w:r w:rsidRPr="00A772C1">
        <w:rPr>
          <w:rFonts w:ascii="Calibri" w:hAnsi="Calibri" w:cs="Calibri"/>
          <w:b/>
          <w:bCs/>
          <w:noProof/>
          <w:szCs w:val="24"/>
        </w:rPr>
        <w:t>9</w:t>
      </w:r>
      <w:r w:rsidRPr="00A772C1">
        <w:rPr>
          <w:rFonts w:ascii="Calibri" w:hAnsi="Calibri" w:cs="Calibri"/>
          <w:noProof/>
          <w:szCs w:val="24"/>
        </w:rPr>
        <w:t>, 18180–18188.</w:t>
      </w:r>
    </w:p>
    <w:p w14:paraId="1D7BAB28" w14:textId="60971DFD" w:rsidR="004F7B38" w:rsidRPr="005652D5" w:rsidRDefault="00D675BF" w:rsidP="00A772C1">
      <w:pPr>
        <w:widowControl w:val="0"/>
        <w:autoSpaceDE w:val="0"/>
        <w:autoSpaceDN w:val="0"/>
        <w:adjustRightInd w:val="0"/>
        <w:spacing w:after="20" w:line="240" w:lineRule="auto"/>
        <w:ind w:left="640" w:hanging="640"/>
        <w:rPr>
          <w:rFonts w:cs="Times New Roman"/>
          <w:b/>
          <w:bCs/>
          <w:szCs w:val="24"/>
          <w:lang w:val="en-US"/>
        </w:rPr>
      </w:pPr>
      <w:r>
        <w:rPr>
          <w:rStyle w:val="hps"/>
          <w:rFonts w:cs="Times New Roman"/>
          <w:bCs/>
          <w:szCs w:val="24"/>
          <w:lang w:val="en-US"/>
        </w:rPr>
        <w:fldChar w:fldCharType="end"/>
      </w:r>
    </w:p>
    <w:sectPr w:rsidR="004F7B38" w:rsidRPr="005652D5"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2658" w14:textId="77777777" w:rsidR="00450A99" w:rsidRDefault="00450A99" w:rsidP="00B10FCD">
      <w:pPr>
        <w:spacing w:after="0" w:line="240" w:lineRule="auto"/>
      </w:pPr>
      <w:r>
        <w:separator/>
      </w:r>
    </w:p>
  </w:endnote>
  <w:endnote w:type="continuationSeparator" w:id="0">
    <w:p w14:paraId="239F96A8" w14:textId="77777777" w:rsidR="00450A99" w:rsidRDefault="00450A9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780932" w:rsidRPr="00780932">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502A" w14:textId="77777777" w:rsidR="00450A99" w:rsidRDefault="00450A99" w:rsidP="00B10FCD">
      <w:pPr>
        <w:spacing w:after="0" w:line="240" w:lineRule="auto"/>
      </w:pPr>
      <w:r>
        <w:separator/>
      </w:r>
    </w:p>
  </w:footnote>
  <w:footnote w:type="continuationSeparator" w:id="0">
    <w:p w14:paraId="78366D48" w14:textId="77777777" w:rsidR="00450A99" w:rsidRDefault="00450A99"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503ff38609a19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3018C"/>
    <w:rsid w:val="00055CAD"/>
    <w:rsid w:val="00082B23"/>
    <w:rsid w:val="00083582"/>
    <w:rsid w:val="000B6CC6"/>
    <w:rsid w:val="000E7582"/>
    <w:rsid w:val="00100E5B"/>
    <w:rsid w:val="001327BE"/>
    <w:rsid w:val="00134726"/>
    <w:rsid w:val="00137B0D"/>
    <w:rsid w:val="00195978"/>
    <w:rsid w:val="001B2796"/>
    <w:rsid w:val="00225D44"/>
    <w:rsid w:val="00257888"/>
    <w:rsid w:val="002607CE"/>
    <w:rsid w:val="0027478C"/>
    <w:rsid w:val="002937B1"/>
    <w:rsid w:val="002938E7"/>
    <w:rsid w:val="002B13CB"/>
    <w:rsid w:val="002C7A23"/>
    <w:rsid w:val="0035359A"/>
    <w:rsid w:val="003F4BCB"/>
    <w:rsid w:val="00406EAA"/>
    <w:rsid w:val="00411CC6"/>
    <w:rsid w:val="00450A99"/>
    <w:rsid w:val="004F7B38"/>
    <w:rsid w:val="005652D5"/>
    <w:rsid w:val="005A4565"/>
    <w:rsid w:val="005D1BEC"/>
    <w:rsid w:val="00650F36"/>
    <w:rsid w:val="00670DAB"/>
    <w:rsid w:val="00675947"/>
    <w:rsid w:val="006C534E"/>
    <w:rsid w:val="006F4713"/>
    <w:rsid w:val="00705DF0"/>
    <w:rsid w:val="00726863"/>
    <w:rsid w:val="00780932"/>
    <w:rsid w:val="00915963"/>
    <w:rsid w:val="0091656E"/>
    <w:rsid w:val="00935497"/>
    <w:rsid w:val="009374B8"/>
    <w:rsid w:val="009803F2"/>
    <w:rsid w:val="00984F21"/>
    <w:rsid w:val="00997EF7"/>
    <w:rsid w:val="009A304E"/>
    <w:rsid w:val="009C4DF6"/>
    <w:rsid w:val="009C653D"/>
    <w:rsid w:val="009E5A6A"/>
    <w:rsid w:val="00A06BD7"/>
    <w:rsid w:val="00A3090C"/>
    <w:rsid w:val="00A772C1"/>
    <w:rsid w:val="00A84D47"/>
    <w:rsid w:val="00AA4FE7"/>
    <w:rsid w:val="00AB16ED"/>
    <w:rsid w:val="00AB2958"/>
    <w:rsid w:val="00AB3A6A"/>
    <w:rsid w:val="00AC44BD"/>
    <w:rsid w:val="00AC4B07"/>
    <w:rsid w:val="00AD393E"/>
    <w:rsid w:val="00AE6B11"/>
    <w:rsid w:val="00AF459A"/>
    <w:rsid w:val="00B079E9"/>
    <w:rsid w:val="00B10FCD"/>
    <w:rsid w:val="00B36AC7"/>
    <w:rsid w:val="00B65DEA"/>
    <w:rsid w:val="00BB740F"/>
    <w:rsid w:val="00C04EBD"/>
    <w:rsid w:val="00C07544"/>
    <w:rsid w:val="00C30ABA"/>
    <w:rsid w:val="00C345E4"/>
    <w:rsid w:val="00C55D63"/>
    <w:rsid w:val="00C84852"/>
    <w:rsid w:val="00CD0273"/>
    <w:rsid w:val="00CF4EEC"/>
    <w:rsid w:val="00D675BF"/>
    <w:rsid w:val="00D678BE"/>
    <w:rsid w:val="00DA5472"/>
    <w:rsid w:val="00DE346C"/>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6483">
      <w:bodyDiv w:val="1"/>
      <w:marLeft w:val="0"/>
      <w:marRight w:val="0"/>
      <w:marTop w:val="0"/>
      <w:marBottom w:val="0"/>
      <w:divBdr>
        <w:top w:val="none" w:sz="0" w:space="0" w:color="auto"/>
        <w:left w:val="none" w:sz="0" w:space="0" w:color="auto"/>
        <w:bottom w:val="none" w:sz="0" w:space="0" w:color="auto"/>
        <w:right w:val="none" w:sz="0" w:space="0" w:color="auto"/>
      </w:divBdr>
    </w:div>
    <w:div w:id="16619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4E1F-4045-4128-BCEF-380EE7CC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1939</Words>
  <Characters>10471</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user</cp:lastModifiedBy>
  <cp:revision>4</cp:revision>
  <cp:lastPrinted>2022-02-01T18:44:00Z</cp:lastPrinted>
  <dcterms:created xsi:type="dcterms:W3CDTF">2022-02-07T12:47:00Z</dcterms:created>
  <dcterms:modified xsi:type="dcterms:W3CDTF">2022-02-07T13:55:00Z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fd238c5e-ddc1-35a9-8834-c918505846ab</vt:lpwstr>
  </property>
  <property fmtid="{D5CDD505-2E9C-101B-9397-08002B2CF9AE}" pid="4" name="Mendeley Citation Style_1">
    <vt:lpwstr>http://www.zotero.org/styles/soft-matter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http://www.zotero.org/styles/macromolecules</vt:lpwstr>
  </property>
  <property fmtid="{D5CDD505-2E9C-101B-9397-08002B2CF9AE}" pid="16" name="Mendeley Recent Style Name 5_1">
    <vt:lpwstr>Macromolecules</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http://www.zotero.org/styles/physical-review-e</vt:lpwstr>
  </property>
  <property fmtid="{D5CDD505-2E9C-101B-9397-08002B2CF9AE}" pid="20" name="Mendeley Recent Style Name 7_1">
    <vt:lpwstr>Physical Review E</vt:lpwstr>
  </property>
  <property fmtid="{D5CDD505-2E9C-101B-9397-08002B2CF9AE}" pid="21" name="Mendeley Recent Style Id 8_1">
    <vt:lpwstr>http://www.zotero.org/styles/physical-review-letters</vt:lpwstr>
  </property>
  <property fmtid="{D5CDD505-2E9C-101B-9397-08002B2CF9AE}" pid="22" name="Mendeley Recent Style Name 8_1">
    <vt:lpwstr>Physical Review Letters</vt:lpwstr>
  </property>
  <property fmtid="{D5CDD505-2E9C-101B-9397-08002B2CF9AE}" pid="23" name="Mendeley Recent Style Id 9_1">
    <vt:lpwstr>http://www.zotero.org/styles/soft-matter</vt:lpwstr>
  </property>
  <property fmtid="{D5CDD505-2E9C-101B-9397-08002B2CF9AE}" pid="24" name="Mendeley Recent Style Name 9_1">
    <vt:lpwstr>Soft Matter</vt:lpwstr>
  </property>
</Properties>
</file>