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DBEB" w14:textId="16DEB15B" w:rsidR="009A7629" w:rsidRPr="005E1E25" w:rsidRDefault="009A7629" w:rsidP="0005356B">
      <w:pPr>
        <w:pStyle w:val="Paragraph"/>
        <w:spacing w:after="312" w:line="240" w:lineRule="auto"/>
        <w:jc w:val="both"/>
        <w:rPr>
          <w:rFonts w:ascii="LM Roman 10" w:hAnsi="LM Roman 10" w:cs="Times New Roman"/>
          <w:b/>
        </w:rPr>
      </w:pPr>
      <w:r w:rsidRPr="005E1E25">
        <w:rPr>
          <w:rFonts w:ascii="LM Roman 10" w:hAnsi="LM Roman 10" w:cs="Times New Roman"/>
          <w:b/>
        </w:rPr>
        <w:t>Systems biology modelling and COVID-19 pandemic dynamics</w:t>
      </w:r>
    </w:p>
    <w:p w14:paraId="7047EB34" w14:textId="3E44C4A1" w:rsidR="009A7629" w:rsidRPr="005E1E25" w:rsidRDefault="009A7629" w:rsidP="0005356B">
      <w:pPr>
        <w:pStyle w:val="Paragraph"/>
        <w:spacing w:after="312" w:line="240" w:lineRule="auto"/>
        <w:jc w:val="both"/>
        <w:rPr>
          <w:rFonts w:ascii="LM Roman 10" w:hAnsi="LM Roman 10" w:cs="Times New Roman"/>
          <w:lang w:val="en-US"/>
        </w:rPr>
      </w:pPr>
      <w:r w:rsidRPr="005E1E25">
        <w:rPr>
          <w:rFonts w:ascii="LM Roman 10" w:hAnsi="LM Roman 10" w:cs="Times New Roman"/>
        </w:rPr>
        <w:t>Denis A. Sarigiannis</w:t>
      </w:r>
      <w:r w:rsidRPr="005E1E25">
        <w:rPr>
          <w:rFonts w:ascii="LM Roman 10" w:hAnsi="LM Roman 10" w:cs="Times New Roman"/>
          <w:vertAlign w:val="superscript"/>
        </w:rPr>
        <w:t>1,2,3,4</w:t>
      </w:r>
      <w:r w:rsidRPr="005E1E25">
        <w:rPr>
          <w:rFonts w:ascii="LM Roman 10" w:hAnsi="LM Roman 10" w:cs="Times New Roman"/>
        </w:rPr>
        <w:t>, Achilleas Karakoltzidis</w:t>
      </w:r>
      <w:r w:rsidRPr="005E1E25">
        <w:rPr>
          <w:rFonts w:ascii="LM Roman 10" w:hAnsi="LM Roman 10" w:cs="Times New Roman"/>
          <w:vertAlign w:val="superscript"/>
        </w:rPr>
        <w:t>2,3</w:t>
      </w:r>
      <w:r w:rsidRPr="005E1E25">
        <w:rPr>
          <w:rFonts w:ascii="LM Roman 10" w:hAnsi="LM Roman 10" w:cs="Times New Roman"/>
        </w:rPr>
        <w:t>, Spyros Karakitsios</w:t>
      </w:r>
      <w:r w:rsidRPr="005E1E25">
        <w:rPr>
          <w:rFonts w:ascii="LM Roman 10" w:hAnsi="LM Roman 10" w:cs="Times New Roman"/>
          <w:vertAlign w:val="superscript"/>
        </w:rPr>
        <w:t>1,2</w:t>
      </w:r>
      <w:r w:rsidRPr="005E1E25">
        <w:rPr>
          <w:rFonts w:ascii="LM Roman 10" w:hAnsi="LM Roman 10" w:cs="Times New Roman"/>
        </w:rPr>
        <w:t xml:space="preserve"> </w:t>
      </w:r>
    </w:p>
    <w:p w14:paraId="12172440" w14:textId="601622A6" w:rsidR="009A7629" w:rsidRPr="005E1E25" w:rsidRDefault="009A7629" w:rsidP="0005356B">
      <w:pPr>
        <w:pStyle w:val="Paragraph"/>
        <w:spacing w:line="240" w:lineRule="auto"/>
        <w:jc w:val="both"/>
        <w:rPr>
          <w:rFonts w:ascii="LM Roman 10" w:hAnsi="LM Roman 10" w:cs="Times New Roman"/>
          <w:sz w:val="20"/>
          <w:szCs w:val="20"/>
          <w:vertAlign w:val="superscript"/>
          <w:lang w:val="en-US"/>
        </w:rPr>
      </w:pPr>
      <w:r w:rsidRPr="005E1E25">
        <w:rPr>
          <w:rFonts w:ascii="LM Roman 10" w:hAnsi="LM Roman 10" w:cs="Times New Roman"/>
          <w:sz w:val="20"/>
          <w:szCs w:val="20"/>
          <w:vertAlign w:val="superscript"/>
          <w:lang w:val="en-US"/>
        </w:rPr>
        <w:t>1</w:t>
      </w:r>
      <w:r w:rsidR="0005356B">
        <w:rPr>
          <w:rFonts w:ascii="LM Roman 10" w:hAnsi="LM Roman 10" w:cs="Times New Roman"/>
          <w:sz w:val="20"/>
          <w:szCs w:val="20"/>
          <w:vertAlign w:val="superscript"/>
          <w:lang w:val="en-US"/>
        </w:rPr>
        <w:t xml:space="preserve"> </w:t>
      </w:r>
      <w:r w:rsidR="0005356B" w:rsidRPr="005E1E25">
        <w:rPr>
          <w:rFonts w:ascii="LM Roman 10" w:hAnsi="LM Roman 10" w:cs="Times New Roman"/>
          <w:sz w:val="20"/>
          <w:szCs w:val="20"/>
        </w:rPr>
        <w:t xml:space="preserve">HERACLES Research </w:t>
      </w:r>
      <w:proofErr w:type="spellStart"/>
      <w:r w:rsidR="0005356B" w:rsidRPr="005E1E25">
        <w:rPr>
          <w:rFonts w:ascii="LM Roman 10" w:hAnsi="LM Roman 10" w:cs="Times New Roman"/>
          <w:sz w:val="20"/>
          <w:szCs w:val="20"/>
        </w:rPr>
        <w:t>Center</w:t>
      </w:r>
      <w:proofErr w:type="spellEnd"/>
      <w:r w:rsidR="0005356B" w:rsidRPr="005E1E25">
        <w:rPr>
          <w:rFonts w:ascii="LM Roman 10" w:hAnsi="LM Roman 10" w:cs="Times New Roman"/>
          <w:sz w:val="20"/>
          <w:szCs w:val="20"/>
        </w:rPr>
        <w:t xml:space="preserve"> on the Exposome and Health, </w:t>
      </w:r>
      <w:proofErr w:type="spellStart"/>
      <w:r w:rsidR="0005356B" w:rsidRPr="005E1E25">
        <w:rPr>
          <w:rFonts w:ascii="LM Roman 10" w:hAnsi="LM Roman 10" w:cs="Times New Roman"/>
          <w:sz w:val="20"/>
          <w:szCs w:val="20"/>
        </w:rPr>
        <w:t>Center</w:t>
      </w:r>
      <w:proofErr w:type="spellEnd"/>
      <w:r w:rsidR="0005356B" w:rsidRPr="005E1E25">
        <w:rPr>
          <w:rFonts w:ascii="LM Roman 10" w:hAnsi="LM Roman 10" w:cs="Times New Roman"/>
          <w:sz w:val="20"/>
          <w:szCs w:val="20"/>
        </w:rPr>
        <w:t xml:space="preserve"> for Interdisciplinary Research and Innovation, Aristotle University of Thessaloniki, Greece</w:t>
      </w:r>
    </w:p>
    <w:p w14:paraId="1CD6768E" w14:textId="39361DB8" w:rsidR="009A7629" w:rsidRPr="005E1E25" w:rsidRDefault="009A7629" w:rsidP="0005356B">
      <w:pPr>
        <w:pStyle w:val="Paragraph"/>
        <w:spacing w:line="240" w:lineRule="auto"/>
        <w:jc w:val="both"/>
        <w:rPr>
          <w:rFonts w:ascii="LM Roman 10" w:hAnsi="LM Roman 10" w:cs="Times New Roman"/>
          <w:sz w:val="20"/>
          <w:szCs w:val="20"/>
        </w:rPr>
      </w:pPr>
      <w:r w:rsidRPr="005E1E25">
        <w:rPr>
          <w:rFonts w:ascii="LM Roman 10" w:hAnsi="LM Roman 10" w:cs="Times New Roman"/>
          <w:sz w:val="20"/>
          <w:szCs w:val="20"/>
          <w:vertAlign w:val="superscript"/>
        </w:rPr>
        <w:t>2</w:t>
      </w:r>
      <w:r w:rsidR="0005356B">
        <w:rPr>
          <w:rFonts w:ascii="LM Roman 10" w:hAnsi="LM Roman 10" w:cs="Times New Roman"/>
          <w:sz w:val="20"/>
          <w:szCs w:val="20"/>
          <w:lang w:val="en-US"/>
        </w:rPr>
        <w:t xml:space="preserve"> </w:t>
      </w:r>
      <w:proofErr w:type="spellStart"/>
      <w:r w:rsidR="0005356B" w:rsidRPr="005E1E25">
        <w:rPr>
          <w:rFonts w:ascii="LM Roman 10" w:hAnsi="LM Roman 10" w:cs="Times New Roman"/>
          <w:sz w:val="20"/>
          <w:szCs w:val="20"/>
          <w:lang w:val="en-US"/>
        </w:rPr>
        <w:t>EnvE.X</w:t>
      </w:r>
      <w:proofErr w:type="spellEnd"/>
      <w:r w:rsidR="0005356B" w:rsidRPr="005E1E25">
        <w:rPr>
          <w:rFonts w:ascii="LM Roman 10" w:hAnsi="LM Roman 10" w:cs="Times New Roman"/>
          <w:sz w:val="20"/>
          <w:szCs w:val="20"/>
          <w:lang w:val="en-US"/>
        </w:rPr>
        <w:t xml:space="preserve"> Solutions, </w:t>
      </w:r>
      <w:r w:rsidR="0005356B" w:rsidRPr="005E1E25">
        <w:rPr>
          <w:rFonts w:ascii="LM Roman 10" w:hAnsi="LM Roman 10" w:cs="Times New Roman"/>
          <w:sz w:val="20"/>
          <w:szCs w:val="20"/>
        </w:rPr>
        <w:t>Thessaloniki, Greece</w:t>
      </w:r>
    </w:p>
    <w:p w14:paraId="6A8EEE1D" w14:textId="65E934F0" w:rsidR="009A7629" w:rsidRPr="005E1E25" w:rsidRDefault="009A7629" w:rsidP="0005356B">
      <w:pPr>
        <w:pStyle w:val="Paragraph"/>
        <w:spacing w:line="240" w:lineRule="auto"/>
        <w:jc w:val="both"/>
        <w:rPr>
          <w:rFonts w:ascii="LM Roman 10" w:hAnsi="LM Roman 10" w:cs="Times New Roman"/>
          <w:sz w:val="20"/>
          <w:szCs w:val="20"/>
        </w:rPr>
      </w:pPr>
      <w:r w:rsidRPr="005E1E25">
        <w:rPr>
          <w:rFonts w:ascii="LM Roman 10" w:hAnsi="LM Roman 10" w:cs="Times New Roman"/>
          <w:sz w:val="20"/>
          <w:szCs w:val="20"/>
          <w:vertAlign w:val="superscript"/>
        </w:rPr>
        <w:t>3</w:t>
      </w:r>
      <w:r w:rsidR="0005356B">
        <w:rPr>
          <w:rFonts w:ascii="LM Roman 10" w:hAnsi="LM Roman 10" w:cs="Times New Roman"/>
          <w:sz w:val="20"/>
          <w:szCs w:val="20"/>
          <w:vertAlign w:val="superscript"/>
        </w:rPr>
        <w:t xml:space="preserve"> </w:t>
      </w:r>
      <w:r w:rsidRPr="005E1E25">
        <w:rPr>
          <w:rFonts w:ascii="LM Roman 10" w:hAnsi="LM Roman 10" w:cs="Times New Roman"/>
          <w:sz w:val="20"/>
          <w:szCs w:val="20"/>
        </w:rPr>
        <w:t>Environmental Engineering Laboratory, Department of Chemical Engineering, Aristotle University of Thessaloniki, Greece</w:t>
      </w:r>
    </w:p>
    <w:p w14:paraId="0851C826" w14:textId="20A6734B" w:rsidR="009A7629" w:rsidRPr="005E1E25" w:rsidRDefault="009A7629" w:rsidP="0005356B">
      <w:pPr>
        <w:pStyle w:val="Paragraph"/>
        <w:spacing w:after="312" w:line="240" w:lineRule="auto"/>
        <w:jc w:val="both"/>
        <w:rPr>
          <w:rFonts w:ascii="LM Roman 10" w:hAnsi="LM Roman 10" w:cs="Times New Roman"/>
          <w:sz w:val="20"/>
          <w:szCs w:val="20"/>
        </w:rPr>
      </w:pPr>
      <w:r w:rsidRPr="005E1E25">
        <w:rPr>
          <w:rFonts w:ascii="LM Roman 10" w:hAnsi="LM Roman 10" w:cs="Times New Roman"/>
          <w:sz w:val="20"/>
          <w:szCs w:val="20"/>
          <w:vertAlign w:val="superscript"/>
        </w:rPr>
        <w:t>4</w:t>
      </w:r>
      <w:r w:rsidR="0005356B">
        <w:rPr>
          <w:rFonts w:ascii="LM Roman 10" w:hAnsi="LM Roman 10" w:cs="Times New Roman"/>
          <w:sz w:val="20"/>
          <w:szCs w:val="20"/>
          <w:vertAlign w:val="superscript"/>
        </w:rPr>
        <w:t xml:space="preserve"> </w:t>
      </w:r>
      <w:r w:rsidR="0005356B">
        <w:rPr>
          <w:rFonts w:ascii="LM Roman 10" w:hAnsi="LM Roman 10" w:cs="Times New Roman"/>
          <w:sz w:val="20"/>
          <w:szCs w:val="20"/>
        </w:rPr>
        <w:t xml:space="preserve">Complex Risk and Data Analysis </w:t>
      </w:r>
      <w:proofErr w:type="spellStart"/>
      <w:r w:rsidR="0005356B">
        <w:rPr>
          <w:rFonts w:ascii="LM Roman 10" w:hAnsi="LM Roman 10" w:cs="Times New Roman"/>
          <w:sz w:val="20"/>
          <w:szCs w:val="20"/>
        </w:rPr>
        <w:t>Center</w:t>
      </w:r>
      <w:proofErr w:type="spellEnd"/>
      <w:r w:rsidR="0005356B">
        <w:rPr>
          <w:rFonts w:ascii="LM Roman 10" w:hAnsi="LM Roman 10" w:cs="Times New Roman"/>
          <w:sz w:val="20"/>
          <w:szCs w:val="20"/>
        </w:rPr>
        <w:t>, U</w:t>
      </w:r>
      <w:r w:rsidRPr="005E1E25">
        <w:rPr>
          <w:rFonts w:ascii="LM Roman 10" w:hAnsi="LM Roman 10" w:cs="Times New Roman"/>
          <w:sz w:val="20"/>
          <w:szCs w:val="20"/>
        </w:rPr>
        <w:t>niversity School of Advanced Study IUSS, Pavia, Italy</w:t>
      </w:r>
    </w:p>
    <w:p w14:paraId="447805B6" w14:textId="7C6D3C22" w:rsidR="009A7629" w:rsidRPr="00750E10" w:rsidRDefault="003D7E30" w:rsidP="0005356B">
      <w:pPr>
        <w:spacing w:after="0" w:line="240" w:lineRule="auto"/>
        <w:jc w:val="both"/>
        <w:rPr>
          <w:rFonts w:ascii="LM Roman 10" w:hAnsi="LM Roman 10" w:cs="Times New Roman"/>
          <w:sz w:val="21"/>
          <w:szCs w:val="21"/>
        </w:rPr>
      </w:pPr>
      <w:r w:rsidRPr="00750E10">
        <w:rPr>
          <w:rFonts w:ascii="LM Roman 10" w:hAnsi="LM Roman 10" w:cs="Times New Roman"/>
          <w:sz w:val="21"/>
          <w:szCs w:val="21"/>
        </w:rPr>
        <w:t>The COVID-19 pandemic has instigated the development of advanced modelling tools using a variety of computational approaches to capture the contagion dynamics and support decision making to protect adequately public health. Over time, the prediction of the p</w:t>
      </w:r>
      <w:r w:rsidR="009A7629" w:rsidRPr="00750E10">
        <w:rPr>
          <w:rFonts w:ascii="LM Roman 10" w:hAnsi="LM Roman 10" w:cs="Times New Roman"/>
          <w:sz w:val="21"/>
          <w:szCs w:val="21"/>
        </w:rPr>
        <w:t xml:space="preserve">andemic </w:t>
      </w:r>
      <w:r w:rsidRPr="00750E10">
        <w:rPr>
          <w:rFonts w:ascii="LM Roman 10" w:hAnsi="LM Roman 10" w:cs="Times New Roman"/>
          <w:sz w:val="21"/>
          <w:szCs w:val="21"/>
        </w:rPr>
        <w:t xml:space="preserve">became a </w:t>
      </w:r>
      <w:r w:rsidR="009A7629" w:rsidRPr="00750E10">
        <w:rPr>
          <w:rFonts w:ascii="LM Roman 10" w:hAnsi="LM Roman 10" w:cs="Times New Roman"/>
          <w:sz w:val="21"/>
          <w:szCs w:val="21"/>
        </w:rPr>
        <w:t>particularly complex</w:t>
      </w:r>
      <w:r w:rsidRPr="00750E10">
        <w:rPr>
          <w:rFonts w:ascii="LM Roman 10" w:hAnsi="LM Roman 10" w:cs="Times New Roman"/>
          <w:sz w:val="21"/>
          <w:szCs w:val="21"/>
        </w:rPr>
        <w:t xml:space="preserve"> mathematical challenge</w:t>
      </w:r>
      <w:r w:rsidR="009A7629" w:rsidRPr="00750E10">
        <w:rPr>
          <w:rFonts w:ascii="LM Roman 10" w:hAnsi="LM Roman 10" w:cs="Times New Roman"/>
          <w:sz w:val="21"/>
          <w:szCs w:val="21"/>
        </w:rPr>
        <w:t xml:space="preserve">, </w:t>
      </w:r>
      <w:r w:rsidR="00750E10" w:rsidRPr="00750E10">
        <w:rPr>
          <w:rFonts w:ascii="LM Roman 10" w:hAnsi="LM Roman 10" w:cs="Times New Roman"/>
          <w:sz w:val="21"/>
          <w:szCs w:val="21"/>
        </w:rPr>
        <w:t>because of</w:t>
      </w:r>
      <w:r w:rsidR="009A7629" w:rsidRPr="00750E10">
        <w:rPr>
          <w:rFonts w:ascii="LM Roman 10" w:hAnsi="LM Roman 10" w:cs="Times New Roman"/>
          <w:sz w:val="21"/>
          <w:szCs w:val="21"/>
        </w:rPr>
        <w:t xml:space="preserve"> the </w:t>
      </w:r>
      <w:r w:rsidRPr="00750E10">
        <w:rPr>
          <w:rFonts w:ascii="LM Roman 10" w:hAnsi="LM Roman 10" w:cs="Times New Roman"/>
          <w:sz w:val="21"/>
          <w:szCs w:val="21"/>
        </w:rPr>
        <w:t xml:space="preserve">multi-faceted factors and biological, environmental and societal processes contributing to its articulation. These processes were, in turn, affected by factors such as </w:t>
      </w:r>
      <w:r w:rsidR="009A7629" w:rsidRPr="00750E10">
        <w:rPr>
          <w:rFonts w:ascii="LM Roman 10" w:hAnsi="LM Roman 10" w:cs="Times New Roman"/>
          <w:sz w:val="21"/>
          <w:szCs w:val="21"/>
        </w:rPr>
        <w:t>(a) non-pharmacological interventions (such as social distancing, extensive testing, self-testing), (b) pharmacological interventions (vaccination</w:t>
      </w:r>
      <w:r w:rsidRPr="00750E10">
        <w:rPr>
          <w:rFonts w:ascii="LM Roman 10" w:hAnsi="LM Roman 10" w:cs="Times New Roman"/>
          <w:sz w:val="21"/>
          <w:szCs w:val="21"/>
        </w:rPr>
        <w:t xml:space="preserve"> and, as of recent, the availability of targeted antiviral medication</w:t>
      </w:r>
      <w:r w:rsidR="009A7629" w:rsidRPr="00750E10">
        <w:rPr>
          <w:rFonts w:ascii="LM Roman 10" w:hAnsi="LM Roman 10" w:cs="Times New Roman"/>
          <w:sz w:val="21"/>
          <w:szCs w:val="21"/>
        </w:rPr>
        <w:t>), (c) the effect of seasonality (d) the different transmissibility, disease severity and reinfection capacity of the various strains. At the same time, multiple factors related to urban dynamics such as mobility patterns and social distancing measures are detrimental for the transmissibility of COVID-19, while PM related air pollution and climatic conditions themselves (impacted by climate change) comprise additional transmissibility modifiers. In this sense, it is of particular interest to evaluate the impact of various mitigation and adaptation options towards climate change mitigation (</w:t>
      </w:r>
      <w:proofErr w:type="gramStart"/>
      <w:r w:rsidR="009A7629" w:rsidRPr="00750E10">
        <w:rPr>
          <w:rFonts w:ascii="LM Roman 10" w:hAnsi="LM Roman 10" w:cs="Times New Roman"/>
          <w:sz w:val="21"/>
          <w:szCs w:val="21"/>
        </w:rPr>
        <w:t>e.g.</w:t>
      </w:r>
      <w:proofErr w:type="gramEnd"/>
      <w:r w:rsidR="009A7629" w:rsidRPr="00750E10">
        <w:rPr>
          <w:rFonts w:ascii="LM Roman 10" w:hAnsi="LM Roman 10" w:cs="Times New Roman"/>
          <w:sz w:val="21"/>
          <w:szCs w:val="21"/>
        </w:rPr>
        <w:t xml:space="preserve"> promotion of public transport) and adaptation (e.g. use of biomass burning vs air conditioning for space heating), as well as the use of technological advances such as indoor air purifiers impact transmission of COVID-19 in urban environments. Accounting for </w:t>
      </w:r>
      <w:proofErr w:type="gramStart"/>
      <w:r w:rsidR="009A7629" w:rsidRPr="00750E10">
        <w:rPr>
          <w:rFonts w:ascii="LM Roman 10" w:hAnsi="LM Roman 10" w:cs="Times New Roman"/>
          <w:sz w:val="21"/>
          <w:szCs w:val="21"/>
        </w:rPr>
        <w:t>all of</w:t>
      </w:r>
      <w:proofErr w:type="gramEnd"/>
      <w:r w:rsidR="009A7629" w:rsidRPr="00750E10">
        <w:rPr>
          <w:rFonts w:ascii="LM Roman 10" w:hAnsi="LM Roman 10" w:cs="Times New Roman"/>
          <w:sz w:val="21"/>
          <w:szCs w:val="21"/>
        </w:rPr>
        <w:t xml:space="preserve"> the </w:t>
      </w:r>
      <w:r w:rsidR="0074092B" w:rsidRPr="00750E10">
        <w:rPr>
          <w:rFonts w:ascii="LM Roman 10" w:hAnsi="LM Roman 10" w:cs="Times New Roman"/>
          <w:sz w:val="21"/>
          <w:szCs w:val="21"/>
        </w:rPr>
        <w:t>above and</w:t>
      </w:r>
      <w:r w:rsidR="009A7629" w:rsidRPr="00750E10">
        <w:rPr>
          <w:rFonts w:ascii="LM Roman 10" w:hAnsi="LM Roman 10" w:cs="Times New Roman"/>
          <w:sz w:val="21"/>
          <w:szCs w:val="21"/>
        </w:rPr>
        <w:t xml:space="preserve"> having in mind the </w:t>
      </w:r>
      <w:r w:rsidR="0074092B" w:rsidRPr="00750E10">
        <w:rPr>
          <w:rFonts w:ascii="LM Roman 10" w:hAnsi="LM Roman 10" w:cs="Times New Roman"/>
          <w:sz w:val="21"/>
          <w:szCs w:val="21"/>
        </w:rPr>
        <w:t>decision-making</w:t>
      </w:r>
      <w:r w:rsidR="009A7629" w:rsidRPr="00750E10">
        <w:rPr>
          <w:rFonts w:ascii="LM Roman 10" w:hAnsi="LM Roman 10" w:cs="Times New Roman"/>
          <w:sz w:val="21"/>
          <w:szCs w:val="21"/>
        </w:rPr>
        <w:t xml:space="preserve"> support to the national health system over the COVID-19 pandemic, a multi-modal computational tool (called CORE: COVID Risk Evaluation model) for evaluating the COVID-19 epidemic health risk in Greece, Italy and USA has been developed, able to access the impact of various pharmacological and non-pharmacological interventions. </w:t>
      </w:r>
      <w:r w:rsidR="0074092B" w:rsidRPr="00750E10">
        <w:rPr>
          <w:rFonts w:ascii="LM Roman 10" w:hAnsi="LM Roman 10" w:cs="Times New Roman"/>
          <w:sz w:val="21"/>
          <w:szCs w:val="21"/>
        </w:rPr>
        <w:t xml:space="preserve">Unlike conventional epidemiological models, the computational paradigm of the CORE platform is </w:t>
      </w:r>
      <w:r w:rsidR="00750E10" w:rsidRPr="00750E10">
        <w:rPr>
          <w:rFonts w:ascii="LM Roman 10" w:hAnsi="LM Roman 10" w:cs="Times New Roman"/>
          <w:sz w:val="21"/>
          <w:szCs w:val="21"/>
        </w:rPr>
        <w:t xml:space="preserve">dynamic </w:t>
      </w:r>
      <w:r w:rsidR="0074092B" w:rsidRPr="00750E10">
        <w:rPr>
          <w:rFonts w:ascii="LM Roman 10" w:hAnsi="LM Roman 10" w:cs="Times New Roman"/>
          <w:sz w:val="21"/>
          <w:szCs w:val="21"/>
        </w:rPr>
        <w:t>systems biology modelling</w:t>
      </w:r>
      <w:r w:rsidR="00750E10" w:rsidRPr="00750E10">
        <w:rPr>
          <w:rFonts w:ascii="LM Roman 10" w:hAnsi="LM Roman 10" w:cs="Times New Roman"/>
          <w:sz w:val="21"/>
          <w:szCs w:val="21"/>
        </w:rPr>
        <w:t>, supported by artificial intelligence techniques. CORE is built not simply to capture contagion dynamics but rather to allow integrative assessment of the public health risk associated with infectious disease spread and its management. A</w:t>
      </w:r>
      <w:r w:rsidR="00750E10" w:rsidRPr="00750E10">
        <w:rPr>
          <w:rFonts w:ascii="LM Roman 10" w:hAnsi="LM Roman 10" w:cs="Times New Roman"/>
          <w:sz w:val="21"/>
          <w:szCs w:val="21"/>
        </w:rPr>
        <w:t xml:space="preserve">n Agent-Based Modelling (ABM) </w:t>
      </w:r>
      <w:r w:rsidR="00750E10" w:rsidRPr="00750E10">
        <w:rPr>
          <w:rFonts w:ascii="LM Roman 10" w:hAnsi="LM Roman 10" w:cs="Times New Roman"/>
          <w:sz w:val="21"/>
          <w:szCs w:val="21"/>
        </w:rPr>
        <w:t xml:space="preserve">approach </w:t>
      </w:r>
      <w:r w:rsidR="00750E10" w:rsidRPr="00750E10">
        <w:rPr>
          <w:rFonts w:ascii="LM Roman 10" w:hAnsi="LM Roman 10" w:cs="Times New Roman"/>
          <w:sz w:val="21"/>
          <w:szCs w:val="21"/>
        </w:rPr>
        <w:t>(</w:t>
      </w:r>
      <w:proofErr w:type="spellStart"/>
      <w:r w:rsidR="00750E10" w:rsidRPr="00750E10">
        <w:rPr>
          <w:rFonts w:ascii="LM Roman 10" w:hAnsi="LM Roman 10" w:cs="Times New Roman"/>
          <w:sz w:val="21"/>
          <w:szCs w:val="21"/>
        </w:rPr>
        <w:t>Sarigiannis</w:t>
      </w:r>
      <w:proofErr w:type="spellEnd"/>
      <w:r w:rsidR="00750E10" w:rsidRPr="00750E10">
        <w:rPr>
          <w:rFonts w:ascii="LM Roman 10" w:hAnsi="LM Roman 10" w:cs="Times New Roman"/>
          <w:sz w:val="21"/>
          <w:szCs w:val="21"/>
        </w:rPr>
        <w:t xml:space="preserve"> et al., 2018; </w:t>
      </w:r>
      <w:proofErr w:type="spellStart"/>
      <w:r w:rsidR="00750E10" w:rsidRPr="00750E10">
        <w:rPr>
          <w:rFonts w:ascii="LM Roman 10" w:hAnsi="LM Roman 10" w:cs="Times New Roman"/>
          <w:sz w:val="21"/>
          <w:szCs w:val="21"/>
        </w:rPr>
        <w:t>Chapizanis</w:t>
      </w:r>
      <w:proofErr w:type="spellEnd"/>
      <w:r w:rsidR="00750E10" w:rsidRPr="00750E10">
        <w:rPr>
          <w:rFonts w:ascii="LM Roman 10" w:hAnsi="LM Roman 10" w:cs="Times New Roman"/>
          <w:sz w:val="21"/>
          <w:szCs w:val="21"/>
        </w:rPr>
        <w:t xml:space="preserve"> et al., 2021) has been employed</w:t>
      </w:r>
      <w:r w:rsidR="00750E10" w:rsidRPr="00750E10">
        <w:rPr>
          <w:rFonts w:ascii="LM Roman 10" w:hAnsi="LM Roman 10" w:cs="Times New Roman"/>
          <w:sz w:val="21"/>
          <w:szCs w:val="21"/>
        </w:rPr>
        <w:t xml:space="preserve"> to compute</w:t>
      </w:r>
      <w:r w:rsidR="009A7629" w:rsidRPr="00750E10">
        <w:rPr>
          <w:rFonts w:ascii="LM Roman 10" w:hAnsi="LM Roman 10" w:cs="Times New Roman"/>
          <w:sz w:val="21"/>
          <w:szCs w:val="21"/>
        </w:rPr>
        <w:t xml:space="preserve"> the contact matrix among the various population groups, accounting for their sociodemographic profiles (</w:t>
      </w:r>
      <w:proofErr w:type="gramStart"/>
      <w:r w:rsidR="009A7629" w:rsidRPr="00750E10">
        <w:rPr>
          <w:rFonts w:ascii="LM Roman 10" w:hAnsi="LM Roman 10" w:cs="Times New Roman"/>
          <w:sz w:val="21"/>
          <w:szCs w:val="21"/>
        </w:rPr>
        <w:t>i.e.</w:t>
      </w:r>
      <w:proofErr w:type="gramEnd"/>
      <w:r w:rsidR="009A7629" w:rsidRPr="00750E10">
        <w:rPr>
          <w:rFonts w:ascii="LM Roman 10" w:hAnsi="LM Roman 10" w:cs="Times New Roman"/>
          <w:sz w:val="21"/>
          <w:szCs w:val="21"/>
        </w:rPr>
        <w:t xml:space="preserve"> age, occupation etc)</w:t>
      </w:r>
      <w:r w:rsidR="00750E10" w:rsidRPr="00750E10">
        <w:rPr>
          <w:rFonts w:ascii="LM Roman 10" w:hAnsi="LM Roman 10" w:cs="Times New Roman"/>
          <w:sz w:val="21"/>
          <w:szCs w:val="21"/>
        </w:rPr>
        <w:t xml:space="preserve"> and </w:t>
      </w:r>
      <w:r w:rsidR="009A7629" w:rsidRPr="00750E10">
        <w:rPr>
          <w:rFonts w:ascii="LM Roman 10" w:hAnsi="LM Roman 10" w:cs="Times New Roman"/>
          <w:sz w:val="21"/>
          <w:szCs w:val="21"/>
        </w:rPr>
        <w:t xml:space="preserve">the impact of targeted social distancing measures. </w:t>
      </w:r>
    </w:p>
    <w:p w14:paraId="54653E85" w14:textId="59828F9B" w:rsidR="005E1E25" w:rsidRPr="00750E10" w:rsidRDefault="005E1E25" w:rsidP="0005356B">
      <w:pPr>
        <w:spacing w:after="0" w:line="240" w:lineRule="auto"/>
        <w:jc w:val="both"/>
        <w:rPr>
          <w:rFonts w:ascii="LM Roman 10" w:hAnsi="LM Roman 10" w:cs="Arial"/>
          <w:sz w:val="21"/>
          <w:szCs w:val="21"/>
          <w:lang w:val="en-US"/>
        </w:rPr>
      </w:pPr>
      <w:r w:rsidRPr="00750E10">
        <w:rPr>
          <w:rFonts w:ascii="LM Roman 10" w:hAnsi="LM Roman 10" w:cs="Arial"/>
          <w:sz w:val="21"/>
          <w:szCs w:val="21"/>
        </w:rPr>
        <w:t xml:space="preserve">CORE has resulted in successfully modelling the </w:t>
      </w:r>
      <w:r w:rsidR="000F3DE3" w:rsidRPr="00750E10">
        <w:rPr>
          <w:rFonts w:ascii="LM Roman 10" w:hAnsi="LM Roman 10" w:cs="Arial"/>
          <w:sz w:val="21"/>
          <w:szCs w:val="21"/>
        </w:rPr>
        <w:t xml:space="preserve">dispersion and pathology dynamics of the different strains of SARS-CoV-2 that were introduced in the Greek population since the beginning of the pandemic. </w:t>
      </w:r>
      <w:r w:rsidRPr="00750E10">
        <w:rPr>
          <w:rFonts w:ascii="LM Roman 10" w:hAnsi="LM Roman 10" w:cs="Arial"/>
          <w:sz w:val="21"/>
          <w:szCs w:val="21"/>
        </w:rPr>
        <w:t xml:space="preserve">Of particular interest is the introduction in the model of the 2 new dominant strains, </w:t>
      </w:r>
      <w:proofErr w:type="gramStart"/>
      <w:r w:rsidRPr="00750E10">
        <w:rPr>
          <w:rFonts w:ascii="LM Roman 10" w:hAnsi="LM Roman 10" w:cs="Arial"/>
          <w:sz w:val="21"/>
          <w:szCs w:val="21"/>
        </w:rPr>
        <w:t>i.e.</w:t>
      </w:r>
      <w:proofErr w:type="gramEnd"/>
      <w:r w:rsidRPr="00750E10">
        <w:rPr>
          <w:rFonts w:ascii="LM Roman 10" w:hAnsi="LM Roman 10" w:cs="Arial"/>
          <w:sz w:val="21"/>
          <w:szCs w:val="21"/>
        </w:rPr>
        <w:t xml:space="preserve"> Omicron (by the end of November 2021) and Omicron-2 (by February 2022). The greatest challenge in the modelling effort was </w:t>
      </w:r>
      <w:r w:rsidR="000F3DE3" w:rsidRPr="00750E10">
        <w:rPr>
          <w:rFonts w:ascii="LM Roman 10" w:hAnsi="LM Roman 10" w:cs="Arial"/>
          <w:sz w:val="21"/>
          <w:szCs w:val="21"/>
        </w:rPr>
        <w:t xml:space="preserve">to capture the dynamic equilibrium </w:t>
      </w:r>
      <w:r w:rsidRPr="00750E10">
        <w:rPr>
          <w:rFonts w:ascii="LM Roman 10" w:hAnsi="LM Roman 10" w:cs="Arial"/>
          <w:sz w:val="21"/>
          <w:szCs w:val="21"/>
        </w:rPr>
        <w:t>of the susceptible population</w:t>
      </w:r>
      <w:r w:rsidR="000F3DE3" w:rsidRPr="00750E10">
        <w:rPr>
          <w:rFonts w:ascii="LM Roman 10" w:hAnsi="LM Roman 10" w:cs="Arial"/>
          <w:sz w:val="21"/>
          <w:szCs w:val="21"/>
        </w:rPr>
        <w:t>. The latter</w:t>
      </w:r>
      <w:r w:rsidRPr="00750E10">
        <w:rPr>
          <w:rFonts w:ascii="LM Roman 10" w:hAnsi="LM Roman 10" w:cs="Arial"/>
          <w:sz w:val="21"/>
          <w:szCs w:val="21"/>
        </w:rPr>
        <w:t xml:space="preserve"> is affected by (a) the extent to which natural immunity </w:t>
      </w:r>
      <w:r w:rsidR="000F3DE3" w:rsidRPr="00750E10">
        <w:rPr>
          <w:rFonts w:ascii="LM Roman 10" w:hAnsi="LM Roman 10" w:cs="Arial"/>
          <w:sz w:val="21"/>
          <w:szCs w:val="21"/>
        </w:rPr>
        <w:t xml:space="preserve">to </w:t>
      </w:r>
      <w:r w:rsidRPr="00750E10">
        <w:rPr>
          <w:rFonts w:ascii="LM Roman 10" w:hAnsi="LM Roman 10" w:cs="Arial"/>
          <w:sz w:val="21"/>
          <w:szCs w:val="21"/>
        </w:rPr>
        <w:t xml:space="preserve">one strain </w:t>
      </w:r>
      <w:r w:rsidR="000F3DE3" w:rsidRPr="00750E10">
        <w:rPr>
          <w:rFonts w:ascii="LM Roman 10" w:hAnsi="LM Roman 10" w:cs="Arial"/>
          <w:sz w:val="21"/>
          <w:szCs w:val="21"/>
        </w:rPr>
        <w:t xml:space="preserve">extends to </w:t>
      </w:r>
      <w:r w:rsidRPr="00750E10">
        <w:rPr>
          <w:rFonts w:ascii="LM Roman 10" w:hAnsi="LM Roman 10" w:cs="Arial"/>
          <w:sz w:val="21"/>
          <w:szCs w:val="21"/>
        </w:rPr>
        <w:t xml:space="preserve">the other </w:t>
      </w:r>
      <w:r w:rsidR="000F3DE3" w:rsidRPr="00750E10">
        <w:rPr>
          <w:rFonts w:ascii="LM Roman 10" w:hAnsi="LM Roman 10" w:cs="Arial"/>
          <w:sz w:val="21"/>
          <w:szCs w:val="21"/>
        </w:rPr>
        <w:t xml:space="preserve">circulating </w:t>
      </w:r>
      <w:r w:rsidRPr="00750E10">
        <w:rPr>
          <w:rFonts w:ascii="LM Roman 10" w:hAnsi="LM Roman 10" w:cs="Arial"/>
          <w:sz w:val="21"/>
          <w:szCs w:val="21"/>
        </w:rPr>
        <w:t>strain</w:t>
      </w:r>
      <w:r w:rsidR="000F3DE3" w:rsidRPr="00750E10">
        <w:rPr>
          <w:rFonts w:ascii="LM Roman 10" w:hAnsi="LM Roman 10" w:cs="Arial"/>
          <w:sz w:val="21"/>
          <w:szCs w:val="21"/>
        </w:rPr>
        <w:t>s at any point in time;</w:t>
      </w:r>
      <w:r w:rsidRPr="00750E10">
        <w:rPr>
          <w:rFonts w:ascii="LM Roman 10" w:hAnsi="LM Roman 10" w:cs="Arial"/>
          <w:sz w:val="21"/>
          <w:szCs w:val="21"/>
        </w:rPr>
        <w:t xml:space="preserve"> (b) the differences in the immunity and the </w:t>
      </w:r>
      <w:r w:rsidRPr="00750E10">
        <w:rPr>
          <w:rFonts w:ascii="LM Roman 10" w:hAnsi="LM Roman 10" w:cs="Arial"/>
          <w:sz w:val="21"/>
          <w:szCs w:val="21"/>
        </w:rPr>
        <w:lastRenderedPageBreak/>
        <w:t>efficiency against infection of the people vaccinated with 2 and 3 doses and (c) the gradual loss of immunity</w:t>
      </w:r>
      <w:r w:rsidR="000F3DE3" w:rsidRPr="00750E10">
        <w:rPr>
          <w:rFonts w:ascii="LM Roman 10" w:hAnsi="LM Roman 10" w:cs="Arial"/>
          <w:sz w:val="21"/>
          <w:szCs w:val="21"/>
        </w:rPr>
        <w:t xml:space="preserve"> with time</w:t>
      </w:r>
      <w:r w:rsidRPr="00750E10">
        <w:rPr>
          <w:rFonts w:ascii="LM Roman 10" w:hAnsi="LM Roman 10" w:cs="Arial"/>
          <w:sz w:val="21"/>
          <w:szCs w:val="21"/>
        </w:rPr>
        <w:t>, either natural and/or acquired</w:t>
      </w:r>
      <w:r w:rsidR="000F3DE3" w:rsidRPr="00750E10">
        <w:rPr>
          <w:rFonts w:ascii="LM Roman 10" w:hAnsi="LM Roman 10" w:cs="Arial"/>
          <w:sz w:val="21"/>
          <w:szCs w:val="21"/>
        </w:rPr>
        <w:t xml:space="preserve"> through vaccination</w:t>
      </w:r>
      <w:r w:rsidRPr="00750E10">
        <w:rPr>
          <w:rFonts w:ascii="LM Roman 10" w:hAnsi="LM Roman 10" w:cs="Arial"/>
          <w:sz w:val="21"/>
          <w:szCs w:val="21"/>
        </w:rPr>
        <w:t xml:space="preserve">. This was resolved by describing the full set of </w:t>
      </w:r>
      <w:r w:rsidR="00166440" w:rsidRPr="00750E10">
        <w:rPr>
          <w:rFonts w:ascii="LM Roman 10" w:hAnsi="LM Roman 10" w:cs="Arial"/>
          <w:sz w:val="21"/>
          <w:szCs w:val="21"/>
        </w:rPr>
        <w:t>dispersion kinetics</w:t>
      </w:r>
      <w:r w:rsidRPr="00750E10">
        <w:rPr>
          <w:rFonts w:ascii="LM Roman 10" w:hAnsi="LM Roman 10" w:cs="Arial"/>
          <w:sz w:val="21"/>
          <w:szCs w:val="21"/>
        </w:rPr>
        <w:t xml:space="preserve"> </w:t>
      </w:r>
      <w:r w:rsidR="00166440" w:rsidRPr="00750E10">
        <w:rPr>
          <w:rFonts w:ascii="LM Roman 10" w:hAnsi="LM Roman 10" w:cs="Arial"/>
          <w:sz w:val="21"/>
          <w:szCs w:val="21"/>
        </w:rPr>
        <w:t xml:space="preserve">for </w:t>
      </w:r>
      <w:r w:rsidRPr="00750E10">
        <w:rPr>
          <w:rFonts w:ascii="LM Roman 10" w:hAnsi="LM Roman 10" w:cs="Arial"/>
          <w:sz w:val="21"/>
          <w:szCs w:val="21"/>
        </w:rPr>
        <w:t>each strain (</w:t>
      </w:r>
      <w:r w:rsidR="000F3DE3" w:rsidRPr="00750E10">
        <w:rPr>
          <w:rFonts w:ascii="LM Roman 10" w:hAnsi="LM Roman 10" w:cs="Arial"/>
          <w:sz w:val="21"/>
          <w:szCs w:val="21"/>
        </w:rPr>
        <w:t xml:space="preserve">A, </w:t>
      </w:r>
      <w:r w:rsidRPr="00750E10">
        <w:rPr>
          <w:rFonts w:ascii="LM Roman 10" w:hAnsi="LM Roman 10" w:cs="Arial"/>
          <w:sz w:val="21"/>
          <w:szCs w:val="21"/>
          <w:lang w:val="el-GR"/>
        </w:rPr>
        <w:t>Δ</w:t>
      </w:r>
      <w:r w:rsidRPr="00750E10">
        <w:rPr>
          <w:rFonts w:ascii="LM Roman 10" w:hAnsi="LM Roman 10" w:cs="Arial"/>
          <w:sz w:val="21"/>
          <w:szCs w:val="21"/>
          <w:lang w:val="en-US"/>
        </w:rPr>
        <w:t>,</w:t>
      </w:r>
      <w:r w:rsidR="0005356B" w:rsidRPr="00750E10">
        <w:rPr>
          <w:rFonts w:ascii="LM Roman 10" w:hAnsi="LM Roman 10" w:cs="Arial"/>
          <w:sz w:val="21"/>
          <w:szCs w:val="21"/>
          <w:lang w:val="en-US"/>
        </w:rPr>
        <w:t xml:space="preserve"> </w:t>
      </w:r>
      <w:r w:rsidRPr="00750E10">
        <w:rPr>
          <w:rFonts w:ascii="LM Roman 10" w:hAnsi="LM Roman 10" w:cs="LM Roman 10"/>
          <w:sz w:val="21"/>
          <w:szCs w:val="21"/>
          <w:lang w:val="el-GR"/>
        </w:rPr>
        <w:t>Ο</w:t>
      </w:r>
      <w:r w:rsidRPr="00750E10">
        <w:rPr>
          <w:rFonts w:ascii="LM Roman 10" w:hAnsi="LM Roman 10" w:cs="Arial"/>
          <w:sz w:val="21"/>
          <w:szCs w:val="21"/>
          <w:lang w:val="en-US"/>
        </w:rPr>
        <w:t xml:space="preserve">, </w:t>
      </w:r>
      <w:r w:rsidR="000F3DE3" w:rsidRPr="00750E10">
        <w:rPr>
          <w:rFonts w:ascii="LM Roman 10" w:hAnsi="LM Roman 10" w:cs="Arial"/>
          <w:sz w:val="21"/>
          <w:szCs w:val="21"/>
          <w:lang w:val="en-US"/>
        </w:rPr>
        <w:t>O</w:t>
      </w:r>
      <w:r w:rsidRPr="00750E10">
        <w:rPr>
          <w:rFonts w:ascii="LM Roman 10" w:hAnsi="LM Roman 10" w:cs="Arial"/>
          <w:sz w:val="21"/>
          <w:szCs w:val="21"/>
          <w:lang w:val="en-US"/>
        </w:rPr>
        <w:t xml:space="preserve">-2) for the various disease states independently, interacting at the level of the susceptible equilibrium; different fraction of the ones that had acquired immunity by one strain, were also deducted from the available susceptible population of the other strains. At the same time, </w:t>
      </w:r>
      <w:r w:rsidR="00166440" w:rsidRPr="00750E10">
        <w:rPr>
          <w:rFonts w:ascii="LM Roman 10" w:hAnsi="LM Roman 10" w:cs="Arial"/>
          <w:sz w:val="21"/>
          <w:szCs w:val="21"/>
          <w:lang w:val="en-US"/>
        </w:rPr>
        <w:t xml:space="preserve">inter-strain </w:t>
      </w:r>
      <w:r w:rsidRPr="00750E10">
        <w:rPr>
          <w:rFonts w:ascii="LM Roman 10" w:hAnsi="LM Roman 10" w:cs="Arial"/>
          <w:sz w:val="21"/>
          <w:szCs w:val="21"/>
          <w:lang w:val="en-US"/>
        </w:rPr>
        <w:t xml:space="preserve">differences in transmissibility </w:t>
      </w:r>
      <w:r w:rsidR="00166440" w:rsidRPr="00750E10">
        <w:rPr>
          <w:rFonts w:ascii="LM Roman 10" w:hAnsi="LM Roman 10" w:cs="Arial"/>
          <w:sz w:val="21"/>
          <w:szCs w:val="21"/>
          <w:lang w:val="en-US"/>
        </w:rPr>
        <w:t xml:space="preserve">and </w:t>
      </w:r>
      <w:r w:rsidRPr="00750E10">
        <w:rPr>
          <w:rFonts w:ascii="LM Roman 10" w:hAnsi="LM Roman 10" w:cs="Arial"/>
          <w:sz w:val="21"/>
          <w:szCs w:val="21"/>
          <w:lang w:val="en-US"/>
        </w:rPr>
        <w:t xml:space="preserve">re-infection capacity explain very well the pandemic evolution in </w:t>
      </w:r>
      <w:r w:rsidR="0080032C" w:rsidRPr="00750E10">
        <w:rPr>
          <w:rFonts w:ascii="LM Roman 10" w:hAnsi="LM Roman 10" w:cs="Arial"/>
          <w:sz w:val="21"/>
          <w:szCs w:val="21"/>
          <w:lang w:val="en-US"/>
        </w:rPr>
        <w:t xml:space="preserve">terms of </w:t>
      </w:r>
      <w:r w:rsidRPr="00750E10">
        <w:rPr>
          <w:rFonts w:ascii="LM Roman 10" w:hAnsi="LM Roman 10" w:cs="Arial"/>
          <w:sz w:val="21"/>
          <w:szCs w:val="21"/>
          <w:lang w:val="en-US"/>
        </w:rPr>
        <w:t xml:space="preserve">number of </w:t>
      </w:r>
      <w:r w:rsidR="0080032C" w:rsidRPr="00750E10">
        <w:rPr>
          <w:rFonts w:ascii="LM Roman 10" w:hAnsi="LM Roman 10" w:cs="Arial"/>
          <w:sz w:val="21"/>
          <w:szCs w:val="21"/>
          <w:lang w:val="en-US"/>
        </w:rPr>
        <w:t xml:space="preserve">daily </w:t>
      </w:r>
      <w:r w:rsidRPr="00750E10">
        <w:rPr>
          <w:rFonts w:ascii="LM Roman 10" w:hAnsi="LM Roman 10" w:cs="Arial"/>
          <w:sz w:val="21"/>
          <w:szCs w:val="21"/>
          <w:lang w:val="en-US"/>
        </w:rPr>
        <w:t xml:space="preserve">infections. Similarly, differences in the severity </w:t>
      </w:r>
      <w:r w:rsidR="0080032C" w:rsidRPr="00750E10">
        <w:rPr>
          <w:rFonts w:ascii="LM Roman 10" w:hAnsi="LM Roman 10" w:cs="Arial"/>
          <w:sz w:val="21"/>
          <w:szCs w:val="21"/>
          <w:lang w:val="en-US"/>
        </w:rPr>
        <w:t xml:space="preserve">of </w:t>
      </w:r>
      <w:r w:rsidR="00166440" w:rsidRPr="00750E10">
        <w:rPr>
          <w:rFonts w:ascii="LM Roman 10" w:hAnsi="LM Roman 10" w:cs="Arial"/>
          <w:sz w:val="21"/>
          <w:szCs w:val="21"/>
          <w:lang w:val="en-US"/>
        </w:rPr>
        <w:t xml:space="preserve">the disease caused by the </w:t>
      </w:r>
      <w:r w:rsidR="0080032C" w:rsidRPr="00750E10">
        <w:rPr>
          <w:rFonts w:ascii="LM Roman 10" w:hAnsi="LM Roman 10" w:cs="Arial"/>
          <w:sz w:val="21"/>
          <w:szCs w:val="21"/>
          <w:lang w:val="en-US"/>
        </w:rPr>
        <w:t xml:space="preserve">A, </w:t>
      </w:r>
      <w:r w:rsidRPr="00750E10">
        <w:rPr>
          <w:rFonts w:ascii="LM Roman 10" w:hAnsi="LM Roman 10" w:cs="Arial"/>
          <w:sz w:val="21"/>
          <w:szCs w:val="21"/>
          <w:lang w:val="en-US"/>
        </w:rPr>
        <w:t>Δ,</w:t>
      </w:r>
      <w:r w:rsidR="0005356B" w:rsidRPr="00750E10">
        <w:rPr>
          <w:rFonts w:ascii="LM Roman 10" w:hAnsi="LM Roman 10" w:cs="Arial"/>
          <w:sz w:val="21"/>
          <w:szCs w:val="21"/>
          <w:lang w:val="en-US"/>
        </w:rPr>
        <w:t xml:space="preserve"> </w:t>
      </w:r>
      <w:r w:rsidRPr="00750E10">
        <w:rPr>
          <w:rFonts w:ascii="LM Roman 10" w:hAnsi="LM Roman 10" w:cs="LM Roman 10"/>
          <w:sz w:val="21"/>
          <w:szCs w:val="21"/>
          <w:lang w:val="en-US"/>
        </w:rPr>
        <w:t>Ο</w:t>
      </w:r>
      <w:r w:rsidRPr="00750E10">
        <w:rPr>
          <w:rFonts w:ascii="LM Roman 10" w:hAnsi="LM Roman 10" w:cs="Arial"/>
          <w:sz w:val="21"/>
          <w:szCs w:val="21"/>
          <w:lang w:val="en-US"/>
        </w:rPr>
        <w:t>,</w:t>
      </w:r>
      <w:r w:rsidR="0005356B" w:rsidRPr="00750E10">
        <w:rPr>
          <w:rFonts w:ascii="LM Roman 10" w:hAnsi="LM Roman 10" w:cs="Arial"/>
          <w:sz w:val="21"/>
          <w:szCs w:val="21"/>
          <w:lang w:val="en-US"/>
        </w:rPr>
        <w:t xml:space="preserve"> </w:t>
      </w:r>
      <w:r w:rsidR="00166440" w:rsidRPr="00750E10">
        <w:rPr>
          <w:rFonts w:ascii="LM Roman 10" w:hAnsi="LM Roman 10" w:cs="LM Roman 10"/>
          <w:sz w:val="21"/>
          <w:szCs w:val="21"/>
          <w:lang w:val="en-US"/>
        </w:rPr>
        <w:t>O</w:t>
      </w:r>
      <w:r w:rsidRPr="00750E10">
        <w:rPr>
          <w:rFonts w:ascii="LM Roman 10" w:hAnsi="LM Roman 10" w:cs="Arial"/>
          <w:sz w:val="21"/>
          <w:szCs w:val="21"/>
          <w:lang w:val="en-US"/>
        </w:rPr>
        <w:t>-2 strains have been accounted for</w:t>
      </w:r>
      <w:r w:rsidR="00166440" w:rsidRPr="00750E10">
        <w:rPr>
          <w:rFonts w:ascii="LM Roman 10" w:hAnsi="LM Roman 10" w:cs="Arial"/>
          <w:sz w:val="21"/>
          <w:szCs w:val="21"/>
          <w:lang w:val="en-US"/>
        </w:rPr>
        <w:t>.</w:t>
      </w:r>
      <w:r w:rsidRPr="00750E10">
        <w:rPr>
          <w:rFonts w:ascii="LM Roman 10" w:hAnsi="LM Roman 10" w:cs="Arial"/>
          <w:sz w:val="21"/>
          <w:szCs w:val="21"/>
          <w:lang w:val="en-US"/>
        </w:rPr>
        <w:t xml:space="preserve"> </w:t>
      </w:r>
      <w:r w:rsidR="00166440" w:rsidRPr="00750E10">
        <w:rPr>
          <w:rFonts w:ascii="LM Roman 10" w:hAnsi="LM Roman 10" w:cs="Arial"/>
          <w:sz w:val="21"/>
          <w:szCs w:val="21"/>
          <w:lang w:val="en-US"/>
        </w:rPr>
        <w:t>These differences result</w:t>
      </w:r>
      <w:r w:rsidR="00F61D04" w:rsidRPr="00750E10">
        <w:rPr>
          <w:rFonts w:ascii="LM Roman 10" w:hAnsi="LM Roman 10" w:cs="Arial"/>
          <w:sz w:val="21"/>
          <w:szCs w:val="21"/>
          <w:lang w:val="en-US"/>
        </w:rPr>
        <w:t>ed</w:t>
      </w:r>
      <w:r w:rsidR="00166440" w:rsidRPr="00750E10">
        <w:rPr>
          <w:rFonts w:ascii="LM Roman 10" w:hAnsi="LM Roman 10" w:cs="Arial"/>
          <w:sz w:val="21"/>
          <w:szCs w:val="21"/>
          <w:lang w:val="en-US"/>
        </w:rPr>
        <w:t xml:space="preserve"> in </w:t>
      </w:r>
      <w:r w:rsidRPr="00750E10">
        <w:rPr>
          <w:rFonts w:ascii="LM Roman 10" w:hAnsi="LM Roman 10" w:cs="Arial"/>
          <w:sz w:val="21"/>
          <w:szCs w:val="21"/>
          <w:lang w:val="en-US"/>
        </w:rPr>
        <w:t xml:space="preserve">successful prediction of the people </w:t>
      </w:r>
      <w:r w:rsidR="00166440" w:rsidRPr="00750E10">
        <w:rPr>
          <w:rFonts w:ascii="LM Roman 10" w:hAnsi="LM Roman 10" w:cs="Arial"/>
          <w:sz w:val="21"/>
          <w:szCs w:val="21"/>
          <w:lang w:val="en-US"/>
        </w:rPr>
        <w:t xml:space="preserve">who </w:t>
      </w:r>
      <w:r w:rsidRPr="00750E10">
        <w:rPr>
          <w:rFonts w:ascii="LM Roman 10" w:hAnsi="LM Roman 10" w:cs="Arial"/>
          <w:sz w:val="21"/>
          <w:szCs w:val="21"/>
          <w:lang w:val="en-US"/>
        </w:rPr>
        <w:t>were going to require hospitalization</w:t>
      </w:r>
      <w:r w:rsidR="00CF6CF2" w:rsidRPr="00750E10">
        <w:rPr>
          <w:rFonts w:ascii="LM Roman 10" w:hAnsi="LM Roman 10" w:cs="Arial"/>
          <w:sz w:val="21"/>
          <w:szCs w:val="21"/>
          <w:lang w:val="en-US"/>
        </w:rPr>
        <w:t xml:space="preserve"> </w:t>
      </w:r>
      <w:r w:rsidRPr="00750E10">
        <w:rPr>
          <w:rFonts w:ascii="LM Roman 10" w:hAnsi="LM Roman 10" w:cs="Arial"/>
          <w:sz w:val="21"/>
          <w:szCs w:val="21"/>
          <w:lang w:val="en-US"/>
        </w:rPr>
        <w:t xml:space="preserve">in critical condition (intubated in ICU). </w:t>
      </w:r>
    </w:p>
    <w:p w14:paraId="6796C0FC" w14:textId="10F865F1" w:rsidR="00CF6CF2" w:rsidRPr="00750E10" w:rsidRDefault="00CF6CF2" w:rsidP="00CF6CF2">
      <w:pPr>
        <w:spacing w:after="0" w:line="240" w:lineRule="auto"/>
        <w:jc w:val="both"/>
        <w:rPr>
          <w:rFonts w:ascii="LM Roman 10" w:hAnsi="LM Roman 10" w:cs="Arial"/>
          <w:sz w:val="21"/>
          <w:szCs w:val="21"/>
          <w:lang w:val="en-US"/>
        </w:rPr>
      </w:pPr>
      <w:r w:rsidRPr="00750E10">
        <w:rPr>
          <w:rFonts w:ascii="LM Roman 10" w:hAnsi="LM Roman 10" w:cs="Arial"/>
          <w:sz w:val="21"/>
          <w:szCs w:val="21"/>
          <w:lang w:val="en-US"/>
        </w:rPr>
        <w:t xml:space="preserve">In general, </w:t>
      </w:r>
      <w:r w:rsidR="003D7E30" w:rsidRPr="00750E10">
        <w:rPr>
          <w:rFonts w:ascii="LM Roman 10" w:hAnsi="LM Roman 10" w:cs="Arial"/>
          <w:sz w:val="21"/>
          <w:szCs w:val="21"/>
          <w:lang w:val="en-US"/>
        </w:rPr>
        <w:t>over</w:t>
      </w:r>
      <w:r w:rsidRPr="00750E10">
        <w:rPr>
          <w:rFonts w:ascii="LM Roman 10" w:hAnsi="LM Roman 10" w:cs="Arial"/>
          <w:sz w:val="21"/>
          <w:szCs w:val="21"/>
          <w:lang w:val="en-US"/>
        </w:rPr>
        <w:t xml:space="preserve"> the last </w:t>
      </w:r>
      <w:r w:rsidR="003D7E30" w:rsidRPr="00750E10">
        <w:rPr>
          <w:rFonts w:ascii="LM Roman 10" w:hAnsi="LM Roman 10" w:cs="Arial"/>
          <w:sz w:val="21"/>
          <w:szCs w:val="21"/>
          <w:lang w:val="en-US"/>
        </w:rPr>
        <w:t>quarter</w:t>
      </w:r>
      <w:r w:rsidRPr="00750E10">
        <w:rPr>
          <w:rFonts w:ascii="LM Roman 10" w:hAnsi="LM Roman 10" w:cs="Arial"/>
          <w:sz w:val="21"/>
          <w:szCs w:val="21"/>
          <w:lang w:val="en-US"/>
        </w:rPr>
        <w:t xml:space="preserve">, the theory of dynamic equilibrium that has already been formulated by our team has been confirmed. </w:t>
      </w:r>
      <w:r w:rsidR="00C5160E" w:rsidRPr="00750E10">
        <w:rPr>
          <w:rFonts w:ascii="LM Roman 10" w:hAnsi="LM Roman 10" w:cs="Arial"/>
          <w:sz w:val="21"/>
          <w:szCs w:val="21"/>
          <w:lang w:val="en-US"/>
        </w:rPr>
        <w:t>T</w:t>
      </w:r>
      <w:r w:rsidRPr="00750E10">
        <w:rPr>
          <w:rFonts w:ascii="LM Roman 10" w:hAnsi="LM Roman 10" w:cs="Arial"/>
          <w:sz w:val="21"/>
          <w:szCs w:val="21"/>
          <w:lang w:val="en-US"/>
        </w:rPr>
        <w:t xml:space="preserve">he relaxation of the social distancing measures by mid-February, </w:t>
      </w:r>
      <w:r w:rsidR="00C5160E" w:rsidRPr="00750E10">
        <w:rPr>
          <w:rFonts w:ascii="LM Roman 10" w:hAnsi="LM Roman 10" w:cs="Arial"/>
          <w:sz w:val="21"/>
          <w:szCs w:val="21"/>
          <w:lang w:val="en-US"/>
        </w:rPr>
        <w:t xml:space="preserve">allowed </w:t>
      </w:r>
      <w:r w:rsidRPr="00750E10">
        <w:rPr>
          <w:rFonts w:ascii="LM Roman 10" w:hAnsi="LM Roman 10" w:cs="Arial"/>
          <w:sz w:val="21"/>
          <w:szCs w:val="21"/>
          <w:lang w:val="en-US"/>
        </w:rPr>
        <w:t xml:space="preserve">the most contagious Omicron 2 mutation </w:t>
      </w:r>
      <w:r w:rsidR="0074092B" w:rsidRPr="00750E10">
        <w:rPr>
          <w:rFonts w:ascii="LM Roman 10" w:hAnsi="LM Roman 10" w:cs="Arial"/>
          <w:sz w:val="21"/>
          <w:szCs w:val="21"/>
          <w:lang w:val="en-US"/>
        </w:rPr>
        <w:t>(</w:t>
      </w:r>
      <w:proofErr w:type="spellStart"/>
      <w:r w:rsidR="0074092B" w:rsidRPr="00750E10">
        <w:rPr>
          <w:rFonts w:ascii="LM Roman 10" w:hAnsi="LM Roman 10" w:cs="Arial"/>
          <w:sz w:val="21"/>
          <w:szCs w:val="21"/>
          <w:lang w:val="en-US"/>
        </w:rPr>
        <w:t>Lyngse</w:t>
      </w:r>
      <w:proofErr w:type="spellEnd"/>
      <w:r w:rsidR="0074092B" w:rsidRPr="00750E10">
        <w:rPr>
          <w:rFonts w:ascii="LM Roman 10" w:hAnsi="LM Roman 10" w:cs="Arial"/>
          <w:sz w:val="21"/>
          <w:szCs w:val="21"/>
          <w:lang w:val="en-US"/>
        </w:rPr>
        <w:t xml:space="preserve"> et al, 2022) </w:t>
      </w:r>
      <w:r w:rsidRPr="00750E10">
        <w:rPr>
          <w:rFonts w:ascii="LM Roman 10" w:hAnsi="LM Roman 10" w:cs="Arial"/>
          <w:sz w:val="21"/>
          <w:szCs w:val="21"/>
          <w:lang w:val="en-US"/>
        </w:rPr>
        <w:t xml:space="preserve">to disperse and to result in an additional peak (practically forming a 6th wave), further delaying the rapid de-escalation of the pandemic. However, a very high 6th wave due to Omicron 2 has been avoided by the additional natural immunity obtained (and added to the overall acquired and already existing natural immunity), </w:t>
      </w:r>
      <w:r w:rsidR="00C5160E" w:rsidRPr="00750E10">
        <w:rPr>
          <w:rFonts w:ascii="LM Roman 10" w:hAnsi="LM Roman 10" w:cs="Arial"/>
          <w:sz w:val="21"/>
          <w:szCs w:val="21"/>
          <w:lang w:val="en-US"/>
        </w:rPr>
        <w:t>because of</w:t>
      </w:r>
      <w:r w:rsidRPr="00750E10">
        <w:rPr>
          <w:rFonts w:ascii="LM Roman 10" w:hAnsi="LM Roman 10" w:cs="Arial"/>
          <w:sz w:val="21"/>
          <w:szCs w:val="21"/>
          <w:lang w:val="en-US"/>
        </w:rPr>
        <w:t xml:space="preserve"> this fluctuation</w:t>
      </w:r>
      <w:r w:rsidR="00C5160E" w:rsidRPr="00750E10">
        <w:rPr>
          <w:rFonts w:ascii="LM Roman 10" w:hAnsi="LM Roman 10" w:cs="Arial"/>
          <w:sz w:val="21"/>
          <w:szCs w:val="21"/>
          <w:lang w:val="en-US"/>
        </w:rPr>
        <w:t xml:space="preserve"> in the spread of the contagion</w:t>
      </w:r>
      <w:r w:rsidRPr="00750E10">
        <w:rPr>
          <w:rFonts w:ascii="LM Roman 10" w:hAnsi="LM Roman 10" w:cs="Arial"/>
          <w:sz w:val="21"/>
          <w:szCs w:val="21"/>
          <w:lang w:val="en-US"/>
        </w:rPr>
        <w:t xml:space="preserve">. </w:t>
      </w:r>
      <w:r w:rsidR="00C5160E" w:rsidRPr="00750E10">
        <w:rPr>
          <w:rFonts w:ascii="LM Roman 10" w:hAnsi="LM Roman 10" w:cs="Arial"/>
          <w:sz w:val="21"/>
          <w:szCs w:val="21"/>
          <w:lang w:val="en-US"/>
        </w:rPr>
        <w:t>A</w:t>
      </w:r>
      <w:r w:rsidRPr="00750E10">
        <w:rPr>
          <w:rFonts w:ascii="LM Roman 10" w:hAnsi="LM Roman 10" w:cs="Arial"/>
          <w:sz w:val="21"/>
          <w:szCs w:val="21"/>
          <w:lang w:val="en-US"/>
        </w:rPr>
        <w:t xml:space="preserve">dditional factor that </w:t>
      </w:r>
      <w:r w:rsidR="00C5160E" w:rsidRPr="00750E10">
        <w:rPr>
          <w:rFonts w:ascii="LM Roman 10" w:hAnsi="LM Roman 10" w:cs="Arial"/>
          <w:sz w:val="21"/>
          <w:szCs w:val="21"/>
          <w:lang w:val="en-US"/>
        </w:rPr>
        <w:t>come into play at this instance</w:t>
      </w:r>
      <w:r w:rsidRPr="00750E10">
        <w:rPr>
          <w:rFonts w:ascii="LM Roman 10" w:hAnsi="LM Roman 10" w:cs="Arial"/>
          <w:sz w:val="21"/>
          <w:szCs w:val="21"/>
          <w:lang w:val="en-US"/>
        </w:rPr>
        <w:t xml:space="preserve"> </w:t>
      </w:r>
      <w:r w:rsidR="00C5160E" w:rsidRPr="00750E10">
        <w:rPr>
          <w:rFonts w:ascii="LM Roman 10" w:hAnsi="LM Roman 10" w:cs="Arial"/>
          <w:sz w:val="21"/>
          <w:szCs w:val="21"/>
          <w:lang w:val="en-US"/>
        </w:rPr>
        <w:t>include</w:t>
      </w:r>
      <w:r w:rsidRPr="00750E10">
        <w:rPr>
          <w:rFonts w:ascii="LM Roman 10" w:hAnsi="LM Roman 10" w:cs="Arial"/>
          <w:sz w:val="21"/>
          <w:szCs w:val="21"/>
          <w:lang w:val="en-US"/>
        </w:rPr>
        <w:t xml:space="preserve"> the significant number of re-infections (accounting for almost 10% of the number of daily cases </w:t>
      </w:r>
      <w:r w:rsidR="00C5160E" w:rsidRPr="00750E10">
        <w:rPr>
          <w:rFonts w:ascii="LM Roman 10" w:hAnsi="LM Roman 10" w:cs="Arial"/>
          <w:sz w:val="21"/>
          <w:szCs w:val="21"/>
          <w:lang w:val="en-US"/>
        </w:rPr>
        <w:t>now</w:t>
      </w:r>
      <w:r w:rsidRPr="00750E10">
        <w:rPr>
          <w:rFonts w:ascii="LM Roman 10" w:hAnsi="LM Roman 10" w:cs="Arial"/>
          <w:sz w:val="21"/>
          <w:szCs w:val="21"/>
          <w:lang w:val="en-US"/>
        </w:rPr>
        <w:t xml:space="preserve">), as well as the impact of reduced immunity in people who were vaccinated with the 3rd </w:t>
      </w:r>
      <w:r w:rsidR="00C5160E" w:rsidRPr="00750E10">
        <w:rPr>
          <w:rFonts w:ascii="LM Roman 10" w:hAnsi="LM Roman 10" w:cs="Arial"/>
          <w:sz w:val="21"/>
          <w:szCs w:val="21"/>
          <w:lang w:val="en-US"/>
        </w:rPr>
        <w:t xml:space="preserve">(booster) </w:t>
      </w:r>
      <w:r w:rsidRPr="00750E10">
        <w:rPr>
          <w:rFonts w:ascii="LM Roman 10" w:hAnsi="LM Roman 10" w:cs="Arial"/>
          <w:sz w:val="21"/>
          <w:szCs w:val="21"/>
          <w:lang w:val="en-US"/>
        </w:rPr>
        <w:t xml:space="preserve">dose more than 4 months ago. </w:t>
      </w:r>
    </w:p>
    <w:p w14:paraId="1D76761D" w14:textId="3BD85A92" w:rsidR="00CF6CF2" w:rsidRPr="00750E10" w:rsidRDefault="00C5160E" w:rsidP="00CF6CF2">
      <w:pPr>
        <w:spacing w:after="0" w:line="240" w:lineRule="auto"/>
        <w:jc w:val="both"/>
        <w:rPr>
          <w:rFonts w:ascii="LM Roman 10" w:hAnsi="LM Roman 10" w:cs="Arial"/>
          <w:sz w:val="21"/>
          <w:szCs w:val="21"/>
          <w:lang w:val="en-US"/>
        </w:rPr>
      </w:pPr>
      <w:r w:rsidRPr="00750E10">
        <w:rPr>
          <w:rFonts w:ascii="LM Roman 10" w:hAnsi="LM Roman 10" w:cs="Arial"/>
          <w:sz w:val="21"/>
          <w:szCs w:val="21"/>
          <w:lang w:val="en-US"/>
        </w:rPr>
        <w:t>Our</w:t>
      </w:r>
      <w:r w:rsidR="00CF6CF2" w:rsidRPr="00750E10">
        <w:rPr>
          <w:rFonts w:ascii="LM Roman 10" w:hAnsi="LM Roman 10" w:cs="Arial"/>
          <w:sz w:val="21"/>
          <w:szCs w:val="21"/>
          <w:lang w:val="en-US"/>
        </w:rPr>
        <w:t xml:space="preserve"> prediction</w:t>
      </w:r>
      <w:r w:rsidRPr="00750E10">
        <w:rPr>
          <w:rFonts w:ascii="LM Roman 10" w:hAnsi="LM Roman 10" w:cs="Arial"/>
          <w:sz w:val="21"/>
          <w:szCs w:val="21"/>
          <w:lang w:val="en-US"/>
        </w:rPr>
        <w:t>s</w:t>
      </w:r>
      <w:r w:rsidR="00CF6CF2" w:rsidRPr="00750E10">
        <w:rPr>
          <w:rFonts w:ascii="LM Roman 10" w:hAnsi="LM Roman 10" w:cs="Arial"/>
          <w:sz w:val="21"/>
          <w:szCs w:val="21"/>
          <w:lang w:val="en-US"/>
        </w:rPr>
        <w:t xml:space="preserve"> for the next months </w:t>
      </w:r>
      <w:r w:rsidRPr="00750E10">
        <w:rPr>
          <w:rFonts w:ascii="LM Roman 10" w:hAnsi="LM Roman 10" w:cs="Arial"/>
          <w:sz w:val="21"/>
          <w:szCs w:val="21"/>
          <w:lang w:val="en-US"/>
        </w:rPr>
        <w:t>are</w:t>
      </w:r>
      <w:r w:rsidR="00CF6CF2" w:rsidRPr="00750E10">
        <w:rPr>
          <w:rFonts w:ascii="LM Roman 10" w:hAnsi="LM Roman 10" w:cs="Arial"/>
          <w:sz w:val="21"/>
          <w:szCs w:val="21"/>
          <w:lang w:val="en-US"/>
        </w:rPr>
        <w:t xml:space="preserve"> optimistic (also supported by the seasonality effect), given the gradual decline of natural and acquired immunity</w:t>
      </w:r>
      <w:r w:rsidRPr="00750E10">
        <w:rPr>
          <w:rFonts w:ascii="LM Roman 10" w:hAnsi="LM Roman 10" w:cs="Arial"/>
          <w:sz w:val="21"/>
          <w:szCs w:val="21"/>
          <w:lang w:val="en-US"/>
        </w:rPr>
        <w:t xml:space="preserve"> and </w:t>
      </w:r>
      <w:r w:rsidR="00CF6CF2" w:rsidRPr="00750E10">
        <w:rPr>
          <w:rFonts w:ascii="LM Roman 10" w:hAnsi="LM Roman 10" w:cs="Arial"/>
          <w:sz w:val="21"/>
          <w:szCs w:val="21"/>
          <w:lang w:val="en-US"/>
        </w:rPr>
        <w:t>the high rate of re-infections related to Omicron 2</w:t>
      </w:r>
      <w:r w:rsidRPr="00750E10">
        <w:rPr>
          <w:rFonts w:ascii="LM Roman 10" w:hAnsi="LM Roman 10" w:cs="Arial"/>
          <w:sz w:val="21"/>
          <w:szCs w:val="21"/>
          <w:lang w:val="en-US"/>
        </w:rPr>
        <w:t>. Yet,</w:t>
      </w:r>
      <w:r w:rsidR="00CF6CF2" w:rsidRPr="00750E10">
        <w:rPr>
          <w:rFonts w:ascii="LM Roman 10" w:hAnsi="LM Roman 10" w:cs="Arial"/>
          <w:sz w:val="21"/>
          <w:szCs w:val="21"/>
          <w:lang w:val="en-US"/>
        </w:rPr>
        <w:t xml:space="preserve"> </w:t>
      </w:r>
      <w:r w:rsidR="0074092B" w:rsidRPr="00750E10">
        <w:rPr>
          <w:rFonts w:ascii="LM Roman 10" w:hAnsi="LM Roman 10" w:cs="Arial"/>
          <w:sz w:val="21"/>
          <w:szCs w:val="21"/>
          <w:lang w:val="en-US"/>
        </w:rPr>
        <w:t>to</w:t>
      </w:r>
      <w:r w:rsidR="00CF6CF2" w:rsidRPr="00750E10">
        <w:rPr>
          <w:rFonts w:ascii="LM Roman 10" w:hAnsi="LM Roman 10" w:cs="Arial"/>
          <w:sz w:val="21"/>
          <w:szCs w:val="21"/>
          <w:lang w:val="en-US"/>
        </w:rPr>
        <w:t xml:space="preserve"> reduce the risk of extensive flare-up of the pandemic and to return and sustain de-escalation, it is important to:</w:t>
      </w:r>
    </w:p>
    <w:p w14:paraId="649E05F5" w14:textId="77777777" w:rsidR="00CF6CF2" w:rsidRPr="00750E10" w:rsidRDefault="00CF6CF2" w:rsidP="00CF6CF2">
      <w:pPr>
        <w:spacing w:after="0" w:line="240" w:lineRule="auto"/>
        <w:jc w:val="both"/>
        <w:rPr>
          <w:rFonts w:ascii="LM Roman 10" w:hAnsi="LM Roman 10" w:cs="Arial"/>
          <w:sz w:val="21"/>
          <w:szCs w:val="21"/>
          <w:lang w:val="en-US"/>
        </w:rPr>
      </w:pPr>
      <w:r w:rsidRPr="00750E10">
        <w:rPr>
          <w:rFonts w:ascii="LM Roman 10" w:hAnsi="LM Roman 10" w:cs="Arial"/>
          <w:sz w:val="21"/>
          <w:szCs w:val="21"/>
          <w:lang w:val="en-US"/>
        </w:rPr>
        <w:t>(a) continue at a high rate both the booster vaccination and the rapid completion of school-age vaccination; and</w:t>
      </w:r>
    </w:p>
    <w:p w14:paraId="00CC0A70" w14:textId="1D577687" w:rsidR="00CF6CF2" w:rsidRPr="00750E10" w:rsidRDefault="00CF6CF2" w:rsidP="00CF6CF2">
      <w:pPr>
        <w:spacing w:after="0" w:line="240" w:lineRule="auto"/>
        <w:jc w:val="both"/>
        <w:rPr>
          <w:rFonts w:ascii="LM Roman 10" w:hAnsi="LM Roman 10" w:cs="Arial"/>
          <w:sz w:val="21"/>
          <w:szCs w:val="21"/>
          <w:lang w:val="en-US"/>
        </w:rPr>
      </w:pPr>
      <w:r w:rsidRPr="00750E10">
        <w:rPr>
          <w:rFonts w:ascii="LM Roman 10" w:hAnsi="LM Roman 10" w:cs="Arial"/>
          <w:sz w:val="21"/>
          <w:szCs w:val="21"/>
          <w:lang w:val="en-US"/>
        </w:rPr>
        <w:t>(b) continue to responsibly comply with the measures currently in force until de-escalation of the dispersion below 5000 per day is observed, including the high number of the self-tests.</w:t>
      </w:r>
    </w:p>
    <w:p w14:paraId="5F0816F3" w14:textId="77777777" w:rsidR="005E1E25" w:rsidRPr="00750E10" w:rsidRDefault="005E1E25" w:rsidP="0005356B">
      <w:pPr>
        <w:spacing w:after="0" w:line="240" w:lineRule="auto"/>
        <w:jc w:val="both"/>
        <w:rPr>
          <w:rFonts w:ascii="LM Roman 10" w:hAnsi="LM Roman 10" w:cs="Times New Roman"/>
          <w:sz w:val="21"/>
          <w:szCs w:val="21"/>
        </w:rPr>
      </w:pPr>
    </w:p>
    <w:p w14:paraId="3CEFA1CE" w14:textId="501F3BF8" w:rsidR="009A7629" w:rsidRPr="00750E10" w:rsidRDefault="009A7629" w:rsidP="0005356B">
      <w:pPr>
        <w:spacing w:after="0" w:line="240" w:lineRule="auto"/>
        <w:jc w:val="both"/>
        <w:rPr>
          <w:rFonts w:ascii="LM Roman 10" w:hAnsi="LM Roman 10" w:cs="Times New Roman"/>
          <w:sz w:val="21"/>
          <w:szCs w:val="21"/>
        </w:rPr>
      </w:pPr>
    </w:p>
    <w:p w14:paraId="594C74A8" w14:textId="20D6FC61" w:rsidR="009A7629" w:rsidRPr="00750E10" w:rsidRDefault="00C5160E" w:rsidP="0005356B">
      <w:pPr>
        <w:spacing w:after="0" w:line="240" w:lineRule="auto"/>
        <w:jc w:val="both"/>
        <w:rPr>
          <w:rFonts w:ascii="LM Roman 10" w:hAnsi="LM Roman 10" w:cs="Times New Roman"/>
          <w:sz w:val="21"/>
          <w:szCs w:val="21"/>
        </w:rPr>
      </w:pPr>
      <w:r w:rsidRPr="00750E10">
        <w:rPr>
          <w:rFonts w:ascii="LM Roman 10" w:hAnsi="LM Roman 10" w:cs="Times New Roman"/>
          <w:b/>
          <w:bCs/>
          <w:sz w:val="21"/>
          <w:szCs w:val="21"/>
        </w:rPr>
        <w:t>References</w:t>
      </w:r>
    </w:p>
    <w:p w14:paraId="729CCC28" w14:textId="57D54FC8" w:rsidR="00C5160E" w:rsidRPr="00750E10" w:rsidRDefault="0074092B" w:rsidP="0005356B">
      <w:pPr>
        <w:spacing w:after="0" w:line="240" w:lineRule="auto"/>
        <w:jc w:val="both"/>
        <w:rPr>
          <w:rFonts w:ascii="LM Roman 10" w:hAnsi="LM Roman 10" w:cs="Times New Roman"/>
          <w:sz w:val="21"/>
          <w:szCs w:val="21"/>
        </w:rPr>
      </w:pPr>
      <w:r w:rsidRPr="00750E10">
        <w:rPr>
          <w:rFonts w:ascii="LM Roman 10" w:hAnsi="LM Roman 10"/>
          <w:sz w:val="21"/>
          <w:szCs w:val="21"/>
        </w:rPr>
        <w:t xml:space="preserve">SARIGIANNIS, D. A., KARAKITSIOS, S. P., HANDAKAS, E., PAPADAKI, K., </w:t>
      </w:r>
      <w:r w:rsidRPr="00750E10">
        <w:rPr>
          <w:rFonts w:ascii="LM Roman 10" w:hAnsi="LM Roman 10" w:cs="Times New Roman"/>
          <w:sz w:val="21"/>
          <w:szCs w:val="21"/>
        </w:rPr>
        <w:t>CHAPIZANIS, D. &amp; GOTTI, A. 2018. Informatics and Data Analytics to Support Exposome-Based Discovery: Part 1-Assessment of External and Internal Exposure. Applying Big Data Analytics in Bioinformatics and Medicine. IGI Global.</w:t>
      </w:r>
    </w:p>
    <w:p w14:paraId="7DA8BE49" w14:textId="246B9835" w:rsidR="002960F9" w:rsidRPr="00750E10" w:rsidRDefault="0074092B" w:rsidP="0005356B">
      <w:pPr>
        <w:spacing w:after="0" w:line="240" w:lineRule="auto"/>
        <w:rPr>
          <w:rFonts w:ascii="LM Roman 10" w:hAnsi="LM Roman 10"/>
          <w:sz w:val="21"/>
          <w:szCs w:val="21"/>
        </w:rPr>
      </w:pPr>
      <w:r w:rsidRPr="00750E10">
        <w:rPr>
          <w:rFonts w:ascii="LM Roman 10" w:hAnsi="LM Roman 10"/>
          <w:sz w:val="21"/>
          <w:szCs w:val="21"/>
        </w:rPr>
        <w:t>CHAPIZANIS, D., KARAKITSIOS, S., GOTTI, A. &amp; SARIGIANNIS, D. A. 2021. Assessing personal exposure using Agent Based Modelling informed by sensors technology. Environmental Research, 192, 110141.</w:t>
      </w:r>
    </w:p>
    <w:p w14:paraId="4EBAF1EF" w14:textId="06DF2351" w:rsidR="0074092B" w:rsidRPr="00750E10" w:rsidRDefault="0074092B" w:rsidP="0005356B">
      <w:pPr>
        <w:spacing w:after="0" w:line="240" w:lineRule="auto"/>
        <w:rPr>
          <w:rFonts w:ascii="LM Roman 10" w:hAnsi="LM Roman 10"/>
          <w:sz w:val="21"/>
          <w:szCs w:val="21"/>
        </w:rPr>
      </w:pPr>
      <w:r w:rsidRPr="00750E10">
        <w:rPr>
          <w:rFonts w:ascii="LM Roman 10" w:hAnsi="LM Roman 10"/>
          <w:sz w:val="21"/>
          <w:szCs w:val="21"/>
        </w:rPr>
        <w:t xml:space="preserve">LYNGSE, F. P., KIRKEBY, C. T., DENWOOD, M., CHRISTIANSEN, L. E., MØLBAK, K., MØLLER, C. H., SKOV, R. L., KRAUSE, T. G., RASMUSSEN, M., SIEBER, R. N., JOHANNESEN, T. B., LILLEBAEK, T., FONAGER, J., FOMSGAARD, A., MØLLER, F. T., STEGGER, M., OVERVAD, M., SPIESS, K. &amp; MORTENSEN, L. H. 2022. Transmission of SARS-CoV-2 Omicron VOC subvariants BA.1 and BA.2: Evidence from Danish Households. </w:t>
      </w:r>
      <w:proofErr w:type="spellStart"/>
      <w:r w:rsidRPr="00750E10">
        <w:rPr>
          <w:rFonts w:ascii="LM Roman 10" w:hAnsi="LM Roman 10"/>
          <w:sz w:val="21"/>
          <w:szCs w:val="21"/>
        </w:rPr>
        <w:t>medRxiv</w:t>
      </w:r>
      <w:proofErr w:type="spellEnd"/>
      <w:r w:rsidRPr="00750E10">
        <w:rPr>
          <w:rFonts w:ascii="LM Roman 10" w:hAnsi="LM Roman 10"/>
          <w:sz w:val="21"/>
          <w:szCs w:val="21"/>
        </w:rPr>
        <w:t>, 2022.01.28.22270044.</w:t>
      </w:r>
    </w:p>
    <w:sectPr w:rsidR="0074092B" w:rsidRPr="00750E10" w:rsidSect="0076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4D"/>
    <w:family w:val="auto"/>
    <w:pitch w:val="variable"/>
    <w:sig w:usb0="A00002FF" w:usb1="7800205A" w:usb2="14600000" w:usb3="00000000" w:csb0="00000193" w:csb1="00000000"/>
  </w:font>
  <w:font w:name="LM Roman 10">
    <w:panose1 w:val="00000500000000000000"/>
    <w:charset w:val="4D"/>
    <w:family w:val="auto"/>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51"/>
    <w:rsid w:val="0005356B"/>
    <w:rsid w:val="000F3DE3"/>
    <w:rsid w:val="00166440"/>
    <w:rsid w:val="003325BA"/>
    <w:rsid w:val="003D7E30"/>
    <w:rsid w:val="005E1E25"/>
    <w:rsid w:val="0074092B"/>
    <w:rsid w:val="00750E10"/>
    <w:rsid w:val="0080032C"/>
    <w:rsid w:val="00927D52"/>
    <w:rsid w:val="00981EDD"/>
    <w:rsid w:val="00987D51"/>
    <w:rsid w:val="009A7629"/>
    <w:rsid w:val="00B42D45"/>
    <w:rsid w:val="00B61318"/>
    <w:rsid w:val="00B75384"/>
    <w:rsid w:val="00C5160E"/>
    <w:rsid w:val="00CF6CF2"/>
    <w:rsid w:val="00DC6439"/>
    <w:rsid w:val="00ED653D"/>
    <w:rsid w:val="00F6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1212"/>
  <w15:chartTrackingRefBased/>
  <w15:docId w15:val="{E362CA0B-0402-4407-9145-0A249ED7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6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9A7629"/>
    <w:pPr>
      <w:spacing w:after="0" w:line="348" w:lineRule="atLeast"/>
    </w:pPr>
    <w:rPr>
      <w:rFonts w:ascii="Palatino" w:eastAsia="Palatino" w:hAnsi="Palatino" w:cs="Palatino"/>
      <w:color w:val="333333"/>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Dimosthenis Sarigiannis</dc:creator>
  <cp:keywords/>
  <dc:description/>
  <cp:lastModifiedBy>Dimosthenis Sarigiannis</cp:lastModifiedBy>
  <cp:revision>7</cp:revision>
  <dcterms:created xsi:type="dcterms:W3CDTF">2022-04-28T21:11:00Z</dcterms:created>
  <dcterms:modified xsi:type="dcterms:W3CDTF">2022-05-04T06:06:00Z</dcterms:modified>
</cp:coreProperties>
</file>