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2E" w:rsidRDefault="00823F2E" w:rsidP="00823F2E">
      <w:pPr>
        <w:spacing w:after="120" w:line="276" w:lineRule="auto"/>
        <w:jc w:val="center"/>
        <w:rPr>
          <w:b/>
          <w:sz w:val="28"/>
        </w:rPr>
      </w:pPr>
      <w:r w:rsidRPr="00A5258A">
        <w:rPr>
          <w:b/>
          <w:sz w:val="28"/>
        </w:rPr>
        <w:t>O</w:t>
      </w:r>
      <w:r w:rsidR="007F06D3">
        <w:rPr>
          <w:b/>
          <w:sz w:val="28"/>
        </w:rPr>
        <w:t>RR</w:t>
      </w:r>
      <w:r>
        <w:rPr>
          <w:b/>
          <w:sz w:val="28"/>
        </w:rPr>
        <w:t xml:space="preserve"> Reduction M</w:t>
      </w:r>
      <w:r w:rsidRPr="00A5258A">
        <w:rPr>
          <w:b/>
          <w:sz w:val="28"/>
        </w:rPr>
        <w:t>echanism</w:t>
      </w:r>
      <w:r>
        <w:rPr>
          <w:b/>
          <w:sz w:val="28"/>
        </w:rPr>
        <w:t xml:space="preserve">, Kinetic Inertia </w:t>
      </w:r>
      <w:r w:rsidRPr="00A5258A">
        <w:rPr>
          <w:b/>
          <w:sz w:val="28"/>
        </w:rPr>
        <w:t xml:space="preserve">and </w:t>
      </w:r>
      <w:r>
        <w:rPr>
          <w:b/>
          <w:sz w:val="28"/>
        </w:rPr>
        <w:t>E</w:t>
      </w:r>
      <w:r w:rsidRPr="00A5258A">
        <w:rPr>
          <w:b/>
          <w:sz w:val="28"/>
        </w:rPr>
        <w:t>nergeti</w:t>
      </w:r>
      <w:bookmarkStart w:id="0" w:name="_GoBack"/>
      <w:bookmarkEnd w:id="0"/>
      <w:r w:rsidRPr="00A5258A">
        <w:rPr>
          <w:b/>
          <w:sz w:val="28"/>
        </w:rPr>
        <w:t xml:space="preserve">cs </w:t>
      </w:r>
      <w:r>
        <w:rPr>
          <w:b/>
          <w:sz w:val="28"/>
        </w:rPr>
        <w:t>in HTPEMFCs</w:t>
      </w:r>
    </w:p>
    <w:p w:rsidR="00823F2E" w:rsidRPr="003A397A" w:rsidRDefault="00823F2E" w:rsidP="00823F2E">
      <w:pPr>
        <w:spacing w:after="120" w:line="276" w:lineRule="auto"/>
        <w:jc w:val="center"/>
        <w:rPr>
          <w:lang w:val="en-GB"/>
        </w:rPr>
      </w:pPr>
      <w:r w:rsidRPr="003A397A">
        <w:rPr>
          <w:u w:val="single"/>
          <w:lang w:val="en-GB"/>
        </w:rPr>
        <w:t>P.I. Giotakos</w:t>
      </w:r>
      <w:r w:rsidRPr="003A397A">
        <w:rPr>
          <w:u w:val="single"/>
          <w:vertAlign w:val="superscript"/>
          <w:lang w:val="en-GB"/>
        </w:rPr>
        <w:t>1</w:t>
      </w:r>
      <w:proofErr w:type="gramStart"/>
      <w:r w:rsidRPr="003A397A">
        <w:rPr>
          <w:u w:val="single"/>
          <w:vertAlign w:val="superscript"/>
          <w:lang w:val="en-GB"/>
        </w:rPr>
        <w:t>,2</w:t>
      </w:r>
      <w:proofErr w:type="gramEnd"/>
      <w:r>
        <w:rPr>
          <w:u w:val="single"/>
          <w:vertAlign w:val="superscript"/>
          <w:lang w:val="en-GB"/>
        </w:rPr>
        <w:t>,*</w:t>
      </w:r>
      <w:r w:rsidRPr="003A397A">
        <w:rPr>
          <w:lang w:val="en-GB"/>
        </w:rPr>
        <w:t>, S.G.Neophytides</w:t>
      </w:r>
      <w:r w:rsidRPr="003A397A">
        <w:rPr>
          <w:vertAlign w:val="superscript"/>
          <w:lang w:val="en-GB"/>
        </w:rPr>
        <w:t>1,*</w:t>
      </w:r>
      <w:r>
        <w:rPr>
          <w:vertAlign w:val="superscript"/>
          <w:lang w:val="en-GB"/>
        </w:rPr>
        <w:t>*</w:t>
      </w:r>
    </w:p>
    <w:p w:rsidR="00823F2E" w:rsidRPr="003A397A" w:rsidRDefault="00823F2E" w:rsidP="00823F2E">
      <w:pPr>
        <w:jc w:val="center"/>
        <w:rPr>
          <w:i/>
          <w:iCs/>
          <w:szCs w:val="24"/>
          <w:lang w:val="en-GB"/>
        </w:rPr>
      </w:pPr>
      <w:r w:rsidRPr="003A397A">
        <w:rPr>
          <w:i/>
          <w:iCs/>
          <w:szCs w:val="24"/>
          <w:vertAlign w:val="superscript"/>
          <w:lang w:val="en-GB"/>
        </w:rPr>
        <w:t>1</w:t>
      </w:r>
      <w:r w:rsidRPr="003A397A">
        <w:rPr>
          <w:i/>
          <w:iCs/>
          <w:szCs w:val="24"/>
          <w:lang w:val="en-GB"/>
        </w:rPr>
        <w:t xml:space="preserve">Foundation for Research and Technology Hellas, Institute of Chemical Engineering Sciences, 26504 </w:t>
      </w:r>
      <w:proofErr w:type="spellStart"/>
      <w:r w:rsidRPr="003A397A">
        <w:rPr>
          <w:i/>
          <w:iCs/>
          <w:szCs w:val="24"/>
          <w:lang w:val="en-GB"/>
        </w:rPr>
        <w:t>Stadiou</w:t>
      </w:r>
      <w:proofErr w:type="spellEnd"/>
      <w:r w:rsidRPr="003A397A">
        <w:rPr>
          <w:i/>
          <w:iCs/>
          <w:szCs w:val="24"/>
          <w:lang w:val="en-GB"/>
        </w:rPr>
        <w:t xml:space="preserve"> </w:t>
      </w:r>
      <w:proofErr w:type="spellStart"/>
      <w:r w:rsidRPr="003A397A">
        <w:rPr>
          <w:i/>
          <w:iCs/>
          <w:szCs w:val="24"/>
          <w:lang w:val="en-GB"/>
        </w:rPr>
        <w:t>Str</w:t>
      </w:r>
      <w:proofErr w:type="spellEnd"/>
      <w:r w:rsidRPr="003A397A">
        <w:rPr>
          <w:i/>
          <w:iCs/>
          <w:szCs w:val="24"/>
          <w:lang w:val="en-GB"/>
        </w:rPr>
        <w:t xml:space="preserve">, </w:t>
      </w:r>
      <w:proofErr w:type="spellStart"/>
      <w:r w:rsidRPr="003A397A">
        <w:rPr>
          <w:i/>
          <w:iCs/>
          <w:szCs w:val="24"/>
          <w:lang w:val="en-GB"/>
        </w:rPr>
        <w:t>Platani</w:t>
      </w:r>
      <w:proofErr w:type="spellEnd"/>
      <w:r w:rsidRPr="003A397A">
        <w:rPr>
          <w:i/>
          <w:iCs/>
          <w:szCs w:val="24"/>
          <w:lang w:val="en-GB"/>
        </w:rPr>
        <w:t xml:space="preserve"> </w:t>
      </w:r>
      <w:proofErr w:type="spellStart"/>
      <w:r w:rsidRPr="003A397A">
        <w:rPr>
          <w:i/>
          <w:iCs/>
          <w:szCs w:val="24"/>
          <w:lang w:val="en-GB"/>
        </w:rPr>
        <w:t>Rion</w:t>
      </w:r>
      <w:proofErr w:type="spellEnd"/>
      <w:r w:rsidRPr="003A397A">
        <w:rPr>
          <w:i/>
          <w:iCs/>
          <w:szCs w:val="24"/>
          <w:lang w:val="en-GB"/>
        </w:rPr>
        <w:t>, Greece</w:t>
      </w:r>
    </w:p>
    <w:p w:rsidR="00823F2E" w:rsidRPr="003A397A" w:rsidRDefault="00823F2E" w:rsidP="00823F2E">
      <w:pPr>
        <w:jc w:val="center"/>
        <w:rPr>
          <w:i/>
          <w:lang w:val="en-GB"/>
        </w:rPr>
      </w:pPr>
      <w:r w:rsidRPr="003A397A">
        <w:rPr>
          <w:i/>
          <w:vertAlign w:val="superscript"/>
          <w:lang w:val="en-GB"/>
        </w:rPr>
        <w:t>2</w:t>
      </w:r>
      <w:r w:rsidRPr="003A397A">
        <w:rPr>
          <w:i/>
          <w:lang w:val="en-GB"/>
        </w:rPr>
        <w:t>Department of Chemical Engineering University of Patras, 26504 Rio Achaia, Greece</w:t>
      </w:r>
    </w:p>
    <w:p w:rsidR="00823F2E" w:rsidRPr="003A397A" w:rsidRDefault="00823F2E" w:rsidP="00823F2E">
      <w:pPr>
        <w:jc w:val="center"/>
        <w:rPr>
          <w:color w:val="000000"/>
          <w:lang w:val="en-GB"/>
        </w:rPr>
      </w:pPr>
      <w:r w:rsidRPr="003A397A">
        <w:rPr>
          <w:i/>
          <w:color w:val="000000"/>
          <w:vertAlign w:val="superscript"/>
          <w:lang w:val="en-GB"/>
        </w:rPr>
        <w:t>*</w:t>
      </w:r>
      <w:r>
        <w:rPr>
          <w:i/>
          <w:color w:val="000000"/>
          <w:lang w:val="en-GB"/>
        </w:rPr>
        <w:t>pgiotakos</w:t>
      </w:r>
      <w:r w:rsidRPr="003A397A">
        <w:rPr>
          <w:i/>
          <w:color w:val="000000"/>
          <w:lang w:val="en-GB"/>
        </w:rPr>
        <w:t>@iceht.forth.gr</w:t>
      </w:r>
    </w:p>
    <w:p w:rsidR="00823F2E" w:rsidRPr="003A397A" w:rsidRDefault="00823F2E" w:rsidP="00823F2E">
      <w:pPr>
        <w:jc w:val="center"/>
        <w:rPr>
          <w:color w:val="000000"/>
          <w:lang w:val="en-GB"/>
        </w:rPr>
      </w:pPr>
      <w:r>
        <w:rPr>
          <w:i/>
          <w:color w:val="000000"/>
          <w:vertAlign w:val="superscript"/>
          <w:lang w:val="en-GB"/>
        </w:rPr>
        <w:t>*</w:t>
      </w:r>
      <w:r w:rsidRPr="003A397A">
        <w:rPr>
          <w:i/>
          <w:color w:val="000000"/>
          <w:vertAlign w:val="superscript"/>
          <w:lang w:val="en-GB"/>
        </w:rPr>
        <w:t>*</w:t>
      </w:r>
      <w:r w:rsidRPr="003A397A">
        <w:rPr>
          <w:i/>
          <w:color w:val="000000"/>
          <w:lang w:val="en-GB"/>
        </w:rPr>
        <w:t>neoph@iceht.forth.gr</w:t>
      </w:r>
    </w:p>
    <w:p w:rsidR="00325004" w:rsidRPr="00823F2E" w:rsidRDefault="00325004" w:rsidP="00E0716D">
      <w:pPr>
        <w:jc w:val="center"/>
        <w:rPr>
          <w:lang w:val="en-GB"/>
        </w:rPr>
      </w:pPr>
    </w:p>
    <w:p w:rsidR="00823F2E" w:rsidRPr="003A397A" w:rsidRDefault="00823F2E" w:rsidP="00823F2E">
      <w:pPr>
        <w:spacing w:line="276" w:lineRule="auto"/>
        <w:jc w:val="both"/>
        <w:rPr>
          <w:lang w:val="en-GB"/>
        </w:rPr>
      </w:pPr>
      <w:r w:rsidRPr="003A397A">
        <w:rPr>
          <w:lang w:val="en-GB"/>
        </w:rPr>
        <w:t xml:space="preserve">High temperature polymer electrolyte (HTPEM) fuel cells, due to their high power efficiency and zero greenhouse emissions, constitute a promising candidate for green energy production. However their commercialization is severely hindered by the elusive and energy demanding Oxygen Reduction Reaction (ORR). </w:t>
      </w:r>
    </w:p>
    <w:p w:rsidR="00823F2E" w:rsidRDefault="00823F2E" w:rsidP="00823F2E">
      <w:pPr>
        <w:spacing w:line="276" w:lineRule="auto"/>
        <w:jc w:val="both"/>
        <w:rPr>
          <w:lang w:val="en-GB"/>
        </w:rPr>
      </w:pPr>
      <w:r w:rsidRPr="003A397A">
        <w:rPr>
          <w:lang w:val="en-GB"/>
        </w:rPr>
        <w:t>In order to elucidate and extract the ORR kinetics/energetics, initially a three step reaction mechanism was proposed (Figure 1) and a microkinetic transition state model was developed. The model was incorporated into an analytic macro-homogeneous 1D Transmission Line Model of the Cathode Catalyst Layer (CCL) for the simulation of both the steady state polarization curve (IV) and the intrinsic ORR impedance spectra.</w:t>
      </w:r>
      <w:r>
        <w:rPr>
          <w:lang w:val="en-GB"/>
        </w:rPr>
        <w:t xml:space="preserve"> </w:t>
      </w:r>
      <w:r w:rsidRPr="003A397A">
        <w:rPr>
          <w:lang w:val="en-GB"/>
        </w:rPr>
        <w:t>The experimental data (EIS and IV) were recorded at 180</w:t>
      </w:r>
      <w:r w:rsidRPr="003A397A">
        <w:rPr>
          <w:vertAlign w:val="superscript"/>
          <w:lang w:val="en-GB"/>
        </w:rPr>
        <w:t>o</w:t>
      </w:r>
      <w:r w:rsidRPr="003A397A">
        <w:rPr>
          <w:lang w:val="en-GB"/>
        </w:rPr>
        <w:t>C, under differential conditions, with a 4cm</w:t>
      </w:r>
      <w:r w:rsidRPr="003A397A">
        <w:rPr>
          <w:vertAlign w:val="superscript"/>
          <w:lang w:val="en-GB"/>
        </w:rPr>
        <w:t>2</w:t>
      </w:r>
      <w:r w:rsidRPr="003A397A">
        <w:rPr>
          <w:lang w:val="en-GB"/>
        </w:rPr>
        <w:t xml:space="preserve"> single serpentine cell, operating at the low current density (activation) regime, where ORR power losses are dominant and mass transport limitations negligible. For the parameter identification, an in house Monte Carlo regression algorithm was developed achieving both a unique solution and an excellent agreement with the experimental data. </w:t>
      </w:r>
    </w:p>
    <w:p w:rsidR="00823F2E" w:rsidRPr="003A397A" w:rsidRDefault="00823F2E" w:rsidP="00823F2E">
      <w:pPr>
        <w:spacing w:line="276" w:lineRule="auto"/>
        <w:jc w:val="both"/>
        <w:rPr>
          <w:lang w:val="en-GB"/>
        </w:rPr>
      </w:pPr>
      <w:r w:rsidRPr="003A397A">
        <w:rPr>
          <w:noProof/>
          <w:sz w:val="16"/>
          <w:lang w:val="el-GR" w:eastAsia="el-GR"/>
        </w:rPr>
        <w:drawing>
          <wp:anchor distT="0" distB="0" distL="114300" distR="114300" simplePos="0" relativeHeight="251658240" behindDoc="1" locked="0" layoutInCell="1" allowOverlap="1">
            <wp:simplePos x="0" y="0"/>
            <wp:positionH relativeFrom="column">
              <wp:posOffset>15240</wp:posOffset>
            </wp:positionH>
            <wp:positionV relativeFrom="paragraph">
              <wp:posOffset>74930</wp:posOffset>
            </wp:positionV>
            <wp:extent cx="3466465" cy="3139440"/>
            <wp:effectExtent l="0" t="0" r="635" b="3810"/>
            <wp:wrapTight wrapText="bothSides">
              <wp:wrapPolygon edited="0">
                <wp:start x="7716" y="0"/>
                <wp:lineTo x="2137" y="1049"/>
                <wp:lineTo x="1187" y="1311"/>
                <wp:lineTo x="1187" y="2097"/>
                <wp:lineTo x="475" y="2490"/>
                <wp:lineTo x="475" y="3015"/>
                <wp:lineTo x="1187" y="4194"/>
                <wp:lineTo x="475" y="4194"/>
                <wp:lineTo x="0" y="6816"/>
                <wp:lineTo x="0" y="15728"/>
                <wp:lineTo x="1187" y="16777"/>
                <wp:lineTo x="475" y="17563"/>
                <wp:lineTo x="475" y="17825"/>
                <wp:lineTo x="1187" y="18874"/>
                <wp:lineTo x="356" y="19005"/>
                <wp:lineTo x="831" y="20840"/>
                <wp:lineTo x="8547" y="20971"/>
                <wp:lineTo x="8547" y="21495"/>
                <wp:lineTo x="14363" y="21495"/>
                <wp:lineTo x="14244" y="20971"/>
                <wp:lineTo x="21485" y="20840"/>
                <wp:lineTo x="21485" y="262"/>
                <wp:lineTo x="13413" y="0"/>
                <wp:lineTo x="77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646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F2E" w:rsidRPr="003A397A" w:rsidRDefault="00823F2E" w:rsidP="00823F2E">
      <w:pPr>
        <w:spacing w:line="276" w:lineRule="auto"/>
        <w:jc w:val="both"/>
        <w:rPr>
          <w:sz w:val="16"/>
        </w:rPr>
      </w:pPr>
      <w:r w:rsidRPr="003A397A">
        <w:rPr>
          <w:noProof/>
          <w:sz w:val="16"/>
          <w:lang w:val="el-GR" w:eastAsia="el-GR"/>
        </w:rPr>
        <mc:AlternateContent>
          <mc:Choice Requires="wps">
            <w:drawing>
              <wp:anchor distT="0" distB="0" distL="114300" distR="114300" simplePos="0" relativeHeight="251672576" behindDoc="1" locked="0" layoutInCell="1" allowOverlap="1">
                <wp:simplePos x="0" y="0"/>
                <wp:positionH relativeFrom="column">
                  <wp:posOffset>-3363595</wp:posOffset>
                </wp:positionH>
                <wp:positionV relativeFrom="paragraph">
                  <wp:posOffset>3133725</wp:posOffset>
                </wp:positionV>
                <wp:extent cx="3224530" cy="1276350"/>
                <wp:effectExtent l="0" t="0" r="0" b="0"/>
                <wp:wrapTight wrapText="bothSides">
                  <wp:wrapPolygon edited="0">
                    <wp:start x="0" y="0"/>
                    <wp:lineTo x="0" y="21278"/>
                    <wp:lineTo x="21438" y="21278"/>
                    <wp:lineTo x="2143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4530" cy="1276350"/>
                        </a:xfrm>
                        <a:prstGeom prst="rect">
                          <a:avLst/>
                        </a:prstGeom>
                        <a:solidFill>
                          <a:prstClr val="white"/>
                        </a:solidFill>
                        <a:ln>
                          <a:noFill/>
                        </a:ln>
                        <a:effectLst/>
                      </wps:spPr>
                      <wps:txbx>
                        <w:txbxContent>
                          <w:p w:rsidR="00823F2E" w:rsidRPr="00315C55" w:rsidRDefault="00823F2E" w:rsidP="00823F2E">
                            <w:pPr>
                              <w:pStyle w:val="Caption"/>
                              <w:jc w:val="both"/>
                              <w:rPr>
                                <w:b w:val="0"/>
                                <w:noProof/>
                              </w:rPr>
                            </w:pPr>
                            <w:r w:rsidRPr="00315C55">
                              <w:rPr>
                                <w:b w:val="0"/>
                              </w:rPr>
                              <w:t xml:space="preserve">Figure </w:t>
                            </w:r>
                            <w:r w:rsidRPr="00315C55">
                              <w:rPr>
                                <w:b w:val="0"/>
                              </w:rPr>
                              <w:fldChar w:fldCharType="begin"/>
                            </w:r>
                            <w:r w:rsidRPr="00315C55">
                              <w:rPr>
                                <w:b w:val="0"/>
                              </w:rPr>
                              <w:instrText xml:space="preserve"> SEQ Figure \* ARABIC </w:instrText>
                            </w:r>
                            <w:r w:rsidRPr="00315C55">
                              <w:rPr>
                                <w:b w:val="0"/>
                              </w:rPr>
                              <w:fldChar w:fldCharType="separate"/>
                            </w:r>
                            <w:r w:rsidRPr="00315C55">
                              <w:rPr>
                                <w:b w:val="0"/>
                                <w:noProof/>
                              </w:rPr>
                              <w:t>1</w:t>
                            </w:r>
                            <w:r w:rsidRPr="00315C55">
                              <w:rPr>
                                <w:b w:val="0"/>
                              </w:rPr>
                              <w:fldChar w:fldCharType="end"/>
                            </w:r>
                            <w:r w:rsidRPr="00315C55">
                              <w:rPr>
                                <w:b w:val="0"/>
                              </w:rPr>
                              <w:t>. Free energy diagram of ORR on 30wt% Pt/C catalyst for several electrode potentials at standard state conditions, unit activities and 180</w:t>
                            </w:r>
                            <w:r w:rsidRPr="00315C55">
                              <w:rPr>
                                <w:b w:val="0"/>
                                <w:vertAlign w:val="superscript"/>
                              </w:rPr>
                              <w:t>o</w:t>
                            </w:r>
                            <w:r w:rsidRPr="00315C55">
                              <w:rPr>
                                <w:b w:val="0"/>
                              </w:rPr>
                              <w:t>C. The inset shows the proposed ORR pathway.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4.85pt;margin-top:246.75pt;width:253.9pt;height:1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" stroked="f">
                <v:path arrowok="t"/>
                <v:textbox inset="0,0,0,0">
                  <w:txbxContent>
                    <w:p w:rsidR="00823F2E" w:rsidRPr="00315C55" w:rsidRDefault="00823F2E" w:rsidP="00823F2E">
                      <w:pPr>
                        <w:pStyle w:val="Caption"/>
                        <w:jc w:val="both"/>
                        <w:rPr>
                          <w:b w:val="0"/>
                          <w:noProof/>
                        </w:rPr>
                      </w:pPr>
                      <w:r w:rsidRPr="00315C55">
                        <w:rPr>
                          <w:b w:val="0"/>
                        </w:rPr>
                        <w:t xml:space="preserve">Figure </w:t>
                      </w:r>
                      <w:r w:rsidRPr="00315C55">
                        <w:rPr>
                          <w:b w:val="0"/>
                        </w:rPr>
                        <w:fldChar w:fldCharType="begin"/>
                      </w:r>
                      <w:r w:rsidRPr="00315C55">
                        <w:rPr>
                          <w:b w:val="0"/>
                        </w:rPr>
                        <w:instrText xml:space="preserve"> SEQ Figure \* ARABIC </w:instrText>
                      </w:r>
                      <w:r w:rsidRPr="00315C55">
                        <w:rPr>
                          <w:b w:val="0"/>
                        </w:rPr>
                        <w:fldChar w:fldCharType="separate"/>
                      </w:r>
                      <w:r w:rsidRPr="00315C55">
                        <w:rPr>
                          <w:b w:val="0"/>
                          <w:noProof/>
                        </w:rPr>
                        <w:t>1</w:t>
                      </w:r>
                      <w:r w:rsidRPr="00315C55">
                        <w:rPr>
                          <w:b w:val="0"/>
                        </w:rPr>
                        <w:fldChar w:fldCharType="end"/>
                      </w:r>
                      <w:r w:rsidRPr="00315C55">
                        <w:rPr>
                          <w:b w:val="0"/>
                        </w:rPr>
                        <w:t>. Free energy diagram of ORR on 30wt% Pt/C catalyst for several electrode potentials at standard state conditions, unit activities and 180</w:t>
                      </w:r>
                      <w:r w:rsidRPr="00315C55">
                        <w:rPr>
                          <w:b w:val="0"/>
                          <w:vertAlign w:val="superscript"/>
                        </w:rPr>
                        <w:t>o</w:t>
                      </w:r>
                      <w:r w:rsidRPr="00315C55">
                        <w:rPr>
                          <w:b w:val="0"/>
                        </w:rPr>
                        <w:t>C. The inset shows the proposed ORR pathway.</w:t>
                      </w:r>
                    </w:p>
                  </w:txbxContent>
                </v:textbox>
                <w10:wrap type="tight"/>
              </v:shape>
            </w:pict>
          </mc:Fallback>
        </mc:AlternateContent>
      </w:r>
      <w:r w:rsidRPr="003A397A">
        <w:rPr>
          <w:lang w:val="en-GB"/>
        </w:rPr>
        <w:t>The analysis of th</w:t>
      </w:r>
      <w:r>
        <w:rPr>
          <w:lang w:val="en-GB"/>
        </w:rPr>
        <w:t xml:space="preserve">e results demonstrated that: 1) </w:t>
      </w:r>
      <w:r w:rsidRPr="003A397A">
        <w:rPr>
          <w:lang w:val="en-GB"/>
        </w:rPr>
        <w:t xml:space="preserve">the commonly used empirical Butler Volmer equation is inadequate to </w:t>
      </w:r>
      <w:r>
        <w:rPr>
          <w:lang w:val="en-GB"/>
        </w:rPr>
        <w:t xml:space="preserve">properly </w:t>
      </w:r>
      <w:r w:rsidRPr="003A397A">
        <w:rPr>
          <w:lang w:val="en-GB"/>
        </w:rPr>
        <w:t>describe the experimental results, 2) the impedance spectra consist of a) a linear high frequency part caused by the finite H</w:t>
      </w:r>
      <w:r w:rsidRPr="003A397A">
        <w:rPr>
          <w:vertAlign w:val="superscript"/>
          <w:lang w:val="en-GB"/>
        </w:rPr>
        <w:t>+</w:t>
      </w:r>
      <w:r w:rsidRPr="003A397A">
        <w:rPr>
          <w:lang w:val="en-GB"/>
        </w:rPr>
        <w:t xml:space="preserve"> transport resistance in the CCL, b) a high frequency arc from both charge transfer reaction steps and c) a large low frequency a</w:t>
      </w:r>
      <w:r>
        <w:rPr>
          <w:lang w:val="en-GB"/>
        </w:rPr>
        <w:t xml:space="preserve">rc from ORR’s “kinetic inertia”, </w:t>
      </w:r>
      <w:r w:rsidRPr="003A397A">
        <w:rPr>
          <w:lang w:val="en-GB"/>
        </w:rPr>
        <w:t xml:space="preserve">due to the relaxation of the adsorbed surface reaction intermediates on the catalyst surface. 3) Regarding energetics, the high ORR overpotential losses stem from the combined strength of both kinetically and thermodynamically imposed barriers, specifically from: </w:t>
      </w:r>
      <w:r w:rsidRPr="003A397A">
        <w:t xml:space="preserve">a) the high bonding strength of </w:t>
      </w:r>
      <w:proofErr w:type="spellStart"/>
      <w:r w:rsidRPr="003A397A">
        <w:t>O</w:t>
      </w:r>
      <w:r w:rsidRPr="003A397A">
        <w:rPr>
          <w:vertAlign w:val="subscript"/>
        </w:rPr>
        <w:t>ads</w:t>
      </w:r>
      <w:proofErr w:type="spellEnd"/>
      <w:r w:rsidRPr="003A397A">
        <w:t xml:space="preserve"> on Pt surface and b) the rather high activation energy of the O</w:t>
      </w:r>
      <w:r w:rsidRPr="003A397A">
        <w:rPr>
          <w:vertAlign w:val="subscript"/>
        </w:rPr>
        <w:t>2</w:t>
      </w:r>
      <w:r w:rsidRPr="003A397A">
        <w:t xml:space="preserve"> adsorption step.</w:t>
      </w:r>
    </w:p>
    <w:p w:rsidR="00E0716D" w:rsidRDefault="00E0716D" w:rsidP="00E0716D">
      <w:pPr>
        <w:jc w:val="both"/>
      </w:pPr>
    </w:p>
    <w:sectPr w:rsidR="00E0716D" w:rsidSect="00F97641">
      <w:footnotePr>
        <w:numRestart w:val="eachSect"/>
      </w:footnotePr>
      <w:endnotePr>
        <w:numFmt w:val="decimal"/>
      </w:endnotePr>
      <w:pgSz w:w="11907" w:h="16840" w:code="9"/>
      <w:pgMar w:top="1701" w:right="1701" w:bottom="1701"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04"/>
    <w:rsid w:val="00041EFD"/>
    <w:rsid w:val="00116C13"/>
    <w:rsid w:val="00325004"/>
    <w:rsid w:val="00536366"/>
    <w:rsid w:val="00685C1A"/>
    <w:rsid w:val="007F06D3"/>
    <w:rsid w:val="00823F2E"/>
    <w:rsid w:val="00E0716D"/>
    <w:rsid w:val="00F9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35044B99-09AB-4F87-9CE3-3873E650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16D"/>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2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Electrochemical Society</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Electrochemical</dc:creator>
  <cp:keywords/>
  <cp:lastModifiedBy>PC</cp:lastModifiedBy>
  <cp:revision>3</cp:revision>
  <cp:lastPrinted>2013-10-21T12:07:00Z</cp:lastPrinted>
  <dcterms:created xsi:type="dcterms:W3CDTF">2022-01-10T16:52:00Z</dcterms:created>
  <dcterms:modified xsi:type="dcterms:W3CDTF">2022-02-10T07:25:00Z</dcterms:modified>
</cp:coreProperties>
</file>