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430DB75F" w14:textId="200501FC" w:rsidR="00D53195" w:rsidRPr="004846C1" w:rsidRDefault="00D53195" w:rsidP="00257888">
      <w:pPr>
        <w:spacing w:after="120" w:line="240" w:lineRule="auto"/>
        <w:jc w:val="center"/>
        <w:rPr>
          <w:rStyle w:val="hps"/>
          <w:rFonts w:cs="Times New Roman"/>
          <w:b/>
          <w:szCs w:val="24"/>
          <w:lang w:val="en-US"/>
        </w:rPr>
      </w:pPr>
      <w:r w:rsidRPr="00D53195">
        <w:rPr>
          <w:rStyle w:val="hps"/>
          <w:rFonts w:cs="Times New Roman"/>
          <w:b/>
          <w:szCs w:val="24"/>
          <w:lang w:val="en-US"/>
        </w:rPr>
        <w:t xml:space="preserve">MULTI-OMICS ANALYSIS OF 2D &amp; 3D CULTURES OF HUMAN HEPARG CELLS EXPOSED TO DEHP &amp; </w:t>
      </w:r>
      <w:r w:rsidRPr="004846C1">
        <w:rPr>
          <w:rStyle w:val="hps"/>
          <w:rFonts w:cs="Times New Roman"/>
          <w:b/>
          <w:szCs w:val="24"/>
          <w:lang w:val="en-US"/>
        </w:rPr>
        <w:t xml:space="preserve">AMIODARONE TO REVEAL METABOLIC DISORDERS SIGNATURES </w:t>
      </w:r>
    </w:p>
    <w:p w14:paraId="3C49B038" w14:textId="3B682831" w:rsidR="009A480C" w:rsidRPr="004846C1" w:rsidRDefault="009A480C" w:rsidP="00257888">
      <w:pPr>
        <w:spacing w:after="120" w:line="240" w:lineRule="auto"/>
        <w:jc w:val="center"/>
        <w:rPr>
          <w:rStyle w:val="hps"/>
          <w:rFonts w:cs="Times New Roman"/>
          <w:b/>
          <w:szCs w:val="24"/>
          <w:lang w:val="en-US"/>
        </w:rPr>
      </w:pPr>
      <w:r w:rsidRPr="004846C1">
        <w:rPr>
          <w:rStyle w:val="hps"/>
          <w:rFonts w:cs="Times New Roman"/>
          <w:b/>
          <w:szCs w:val="24"/>
          <w:lang w:val="en-US"/>
        </w:rPr>
        <w:t>N. Papaioannou</w:t>
      </w:r>
      <w:r w:rsidRPr="004846C1">
        <w:rPr>
          <w:rStyle w:val="hps"/>
          <w:rFonts w:cs="Times New Roman"/>
          <w:b/>
          <w:szCs w:val="24"/>
          <w:vertAlign w:val="superscript"/>
          <w:lang w:val="en-US"/>
        </w:rPr>
        <w:t>1,2</w:t>
      </w:r>
      <w:r w:rsidRPr="004846C1">
        <w:rPr>
          <w:rStyle w:val="hps"/>
          <w:rFonts w:cs="Times New Roman"/>
          <w:b/>
          <w:szCs w:val="24"/>
          <w:lang w:val="en-US"/>
        </w:rPr>
        <w:t>, C. Gabriel</w:t>
      </w:r>
      <w:r w:rsidRPr="004846C1">
        <w:rPr>
          <w:rStyle w:val="hps"/>
          <w:rFonts w:cs="Times New Roman"/>
          <w:b/>
          <w:szCs w:val="24"/>
          <w:vertAlign w:val="superscript"/>
          <w:lang w:val="en-US"/>
        </w:rPr>
        <w:t>1,2</w:t>
      </w:r>
      <w:r w:rsidRPr="004846C1">
        <w:rPr>
          <w:rStyle w:val="hps"/>
          <w:rFonts w:cs="Times New Roman"/>
          <w:b/>
          <w:szCs w:val="24"/>
          <w:lang w:val="en-US"/>
        </w:rPr>
        <w:t xml:space="preserve">, </w:t>
      </w:r>
      <w:r w:rsidR="006F2199">
        <w:rPr>
          <w:rStyle w:val="hps"/>
          <w:rFonts w:cs="Times New Roman"/>
          <w:b/>
          <w:szCs w:val="24"/>
          <w:lang w:val="en-US"/>
        </w:rPr>
        <w:t>I. Frydas</w:t>
      </w:r>
      <w:r w:rsidR="006F2199" w:rsidRPr="004846C1">
        <w:rPr>
          <w:rStyle w:val="hps"/>
          <w:rFonts w:cs="Times New Roman"/>
          <w:b/>
          <w:szCs w:val="24"/>
          <w:vertAlign w:val="superscript"/>
          <w:lang w:val="en-US"/>
        </w:rPr>
        <w:t>1,2</w:t>
      </w:r>
      <w:r w:rsidR="006F2199">
        <w:rPr>
          <w:rStyle w:val="hps"/>
          <w:rFonts w:cs="Times New Roman"/>
          <w:b/>
          <w:szCs w:val="24"/>
          <w:lang w:val="en-US"/>
        </w:rPr>
        <w:t xml:space="preserve">, </w:t>
      </w:r>
      <w:r w:rsidR="00294F8F" w:rsidRPr="004846C1">
        <w:rPr>
          <w:rStyle w:val="hps"/>
          <w:rFonts w:cs="Times New Roman"/>
          <w:b/>
          <w:szCs w:val="24"/>
          <w:lang w:val="en-US"/>
        </w:rPr>
        <w:t>T. Papageorgiou</w:t>
      </w:r>
      <w:r w:rsidR="00294F8F" w:rsidRPr="004846C1">
        <w:rPr>
          <w:rStyle w:val="hps"/>
          <w:rFonts w:cs="Times New Roman"/>
          <w:b/>
          <w:szCs w:val="24"/>
          <w:vertAlign w:val="superscript"/>
          <w:lang w:val="en-US"/>
        </w:rPr>
        <w:t>1,2</w:t>
      </w:r>
      <w:r w:rsidRPr="004846C1">
        <w:rPr>
          <w:rStyle w:val="hps"/>
          <w:rFonts w:cs="Times New Roman"/>
          <w:b/>
          <w:szCs w:val="24"/>
          <w:lang w:val="en-US"/>
        </w:rPr>
        <w:t>,</w:t>
      </w:r>
      <w:r w:rsidR="00937284" w:rsidRPr="004846C1">
        <w:t xml:space="preserve"> </w:t>
      </w:r>
      <w:r w:rsidR="006F2199">
        <w:rPr>
          <w:rStyle w:val="hps"/>
          <w:rFonts w:cs="Times New Roman"/>
          <w:b/>
          <w:szCs w:val="24"/>
          <w:lang w:val="en-US"/>
        </w:rPr>
        <w:t>D. Schultz</w:t>
      </w:r>
      <w:r w:rsidR="006F2199" w:rsidRPr="004846C1">
        <w:rPr>
          <w:rStyle w:val="hps"/>
          <w:rFonts w:cs="Times New Roman"/>
          <w:b/>
          <w:szCs w:val="24"/>
          <w:vertAlign w:val="superscript"/>
          <w:lang w:val="en-US"/>
        </w:rPr>
        <w:t>1,2</w:t>
      </w:r>
      <w:r w:rsidR="006F2199">
        <w:rPr>
          <w:rStyle w:val="hps"/>
          <w:rFonts w:cs="Times New Roman"/>
          <w:b/>
          <w:szCs w:val="24"/>
          <w:lang w:val="en-US"/>
        </w:rPr>
        <w:t xml:space="preserve">, </w:t>
      </w:r>
      <w:r w:rsidRPr="004846C1">
        <w:rPr>
          <w:rStyle w:val="hps"/>
          <w:rFonts w:cs="Times New Roman"/>
          <w:b/>
          <w:szCs w:val="24"/>
          <w:lang w:val="en-US"/>
        </w:rPr>
        <w:t>S. Karakitsios</w:t>
      </w:r>
      <w:r w:rsidRPr="004846C1">
        <w:rPr>
          <w:rStyle w:val="hps"/>
          <w:rFonts w:cs="Times New Roman"/>
          <w:b/>
          <w:szCs w:val="24"/>
          <w:vertAlign w:val="superscript"/>
          <w:lang w:val="en-US"/>
        </w:rPr>
        <w:t>1,2,3</w:t>
      </w:r>
      <w:r w:rsidRPr="004846C1">
        <w:rPr>
          <w:rStyle w:val="hps"/>
          <w:rFonts w:cs="Times New Roman"/>
          <w:b/>
          <w:szCs w:val="24"/>
          <w:lang w:val="en-US"/>
        </w:rPr>
        <w:t>,</w:t>
      </w:r>
      <w:r w:rsidR="00937284" w:rsidRPr="004846C1">
        <w:t xml:space="preserve"> </w:t>
      </w:r>
      <w:r w:rsidR="004846C1" w:rsidRPr="004846C1">
        <w:rPr>
          <w:rStyle w:val="hps"/>
          <w:rFonts w:cs="Times New Roman"/>
          <w:b/>
          <w:szCs w:val="24"/>
          <w:lang w:val="en-US"/>
        </w:rPr>
        <w:t>S</w:t>
      </w:r>
      <w:r w:rsidR="004846C1">
        <w:rPr>
          <w:rStyle w:val="hps"/>
          <w:rFonts w:cs="Times New Roman"/>
          <w:b/>
          <w:szCs w:val="24"/>
          <w:lang w:val="en-US"/>
        </w:rPr>
        <w:t xml:space="preserve">. </w:t>
      </w:r>
      <w:r w:rsidR="004846C1" w:rsidRPr="004846C1">
        <w:rPr>
          <w:rStyle w:val="hps"/>
          <w:rFonts w:cs="Times New Roman"/>
          <w:b/>
          <w:szCs w:val="24"/>
          <w:lang w:val="en-US"/>
        </w:rPr>
        <w:t>Langouet</w:t>
      </w:r>
      <w:r w:rsidR="004846C1" w:rsidRPr="004846C1">
        <w:rPr>
          <w:rStyle w:val="hps"/>
          <w:rFonts w:cs="Times New Roman"/>
          <w:b/>
          <w:szCs w:val="24"/>
          <w:vertAlign w:val="superscript"/>
          <w:lang w:val="en-US"/>
        </w:rPr>
        <w:t>4</w:t>
      </w:r>
      <w:r w:rsidR="00937284" w:rsidRPr="004846C1">
        <w:rPr>
          <w:rStyle w:val="hps"/>
          <w:rFonts w:cs="Times New Roman"/>
          <w:b/>
          <w:szCs w:val="24"/>
          <w:lang w:val="en-US"/>
        </w:rPr>
        <w:t>,</w:t>
      </w:r>
      <w:r w:rsidRPr="004846C1">
        <w:rPr>
          <w:rStyle w:val="hps"/>
          <w:rFonts w:cs="Times New Roman"/>
          <w:b/>
          <w:szCs w:val="24"/>
          <w:lang w:val="en-US"/>
        </w:rPr>
        <w:t xml:space="preserve"> </w:t>
      </w:r>
      <w:r w:rsidR="004846C1" w:rsidRPr="004846C1">
        <w:rPr>
          <w:rStyle w:val="hps"/>
          <w:rFonts w:cs="Times New Roman"/>
          <w:b/>
          <w:szCs w:val="24"/>
          <w:lang w:val="en-US"/>
        </w:rPr>
        <w:t>E</w:t>
      </w:r>
      <w:r w:rsidR="004846C1">
        <w:rPr>
          <w:rStyle w:val="hps"/>
          <w:rFonts w:cs="Times New Roman"/>
          <w:b/>
          <w:szCs w:val="24"/>
          <w:lang w:val="en-US"/>
        </w:rPr>
        <w:t xml:space="preserve">. </w:t>
      </w:r>
      <w:r w:rsidR="004846C1" w:rsidRPr="004846C1">
        <w:rPr>
          <w:rStyle w:val="hps"/>
          <w:rFonts w:cs="Times New Roman"/>
          <w:b/>
          <w:szCs w:val="24"/>
          <w:lang w:val="en-US"/>
        </w:rPr>
        <w:t>Blanc</w:t>
      </w:r>
      <w:r w:rsidR="004846C1" w:rsidRPr="004846C1">
        <w:rPr>
          <w:rStyle w:val="hps"/>
          <w:rFonts w:cs="Times New Roman"/>
          <w:b/>
          <w:szCs w:val="24"/>
          <w:vertAlign w:val="superscript"/>
          <w:lang w:val="en-US"/>
        </w:rPr>
        <w:t>5,</w:t>
      </w:r>
      <w:proofErr w:type="gramStart"/>
      <w:r w:rsidR="004846C1" w:rsidRPr="004846C1">
        <w:rPr>
          <w:rStyle w:val="hps"/>
          <w:rFonts w:cs="Times New Roman"/>
          <w:b/>
          <w:szCs w:val="24"/>
          <w:vertAlign w:val="superscript"/>
          <w:lang w:val="en-US"/>
        </w:rPr>
        <w:t>6</w:t>
      </w:r>
      <w:r w:rsidR="004846C1" w:rsidRPr="004846C1">
        <w:rPr>
          <w:rStyle w:val="hps"/>
          <w:rFonts w:cs="Times New Roman"/>
          <w:b/>
          <w:szCs w:val="24"/>
          <w:lang w:val="en-US"/>
        </w:rPr>
        <w:t xml:space="preserve">,  </w:t>
      </w:r>
      <w:r w:rsidRPr="004846C1">
        <w:rPr>
          <w:rStyle w:val="hps"/>
          <w:rFonts w:cs="Times New Roman"/>
          <w:b/>
          <w:szCs w:val="24"/>
          <w:lang w:val="en-US"/>
        </w:rPr>
        <w:t>D.</w:t>
      </w:r>
      <w:proofErr w:type="gramEnd"/>
      <w:r w:rsidRPr="004846C1">
        <w:rPr>
          <w:rStyle w:val="hps"/>
          <w:rFonts w:cs="Times New Roman"/>
          <w:b/>
          <w:szCs w:val="24"/>
          <w:lang w:val="en-US"/>
        </w:rPr>
        <w:t xml:space="preserve"> Sarigiannis</w:t>
      </w:r>
      <w:r w:rsidRPr="004846C1">
        <w:rPr>
          <w:rStyle w:val="hps"/>
          <w:rFonts w:cs="Times New Roman"/>
          <w:b/>
          <w:szCs w:val="24"/>
          <w:vertAlign w:val="superscript"/>
          <w:lang w:val="en-US"/>
        </w:rPr>
        <w:t>1,2,3</w:t>
      </w:r>
      <w:r w:rsidRPr="006F2199">
        <w:rPr>
          <w:rStyle w:val="hps"/>
          <w:rFonts w:cs="Times New Roman"/>
          <w:b/>
          <w:szCs w:val="24"/>
          <w:lang w:val="en-US"/>
        </w:rPr>
        <w:t>*</w:t>
      </w:r>
    </w:p>
    <w:p w14:paraId="2B9C88E8" w14:textId="77777777" w:rsidR="009A480C" w:rsidRPr="006F2199" w:rsidRDefault="009A480C" w:rsidP="009A480C">
      <w:pPr>
        <w:pStyle w:val="ListParagraph"/>
        <w:spacing w:line="240" w:lineRule="auto"/>
        <w:jc w:val="center"/>
        <w:rPr>
          <w:rStyle w:val="hps"/>
          <w:rFonts w:cstheme="minorHAnsi"/>
          <w:sz w:val="24"/>
          <w:szCs w:val="24"/>
          <w:lang w:val="en-US"/>
        </w:rPr>
      </w:pPr>
      <w:r w:rsidRPr="006F2199">
        <w:rPr>
          <w:rStyle w:val="hps"/>
          <w:rFonts w:cstheme="minorHAnsi"/>
          <w:sz w:val="24"/>
          <w:szCs w:val="24"/>
          <w:vertAlign w:val="superscript"/>
          <w:lang w:val="en-US"/>
        </w:rPr>
        <w:t>1</w:t>
      </w:r>
      <w:r w:rsidRPr="006F2199">
        <w:rPr>
          <w:rStyle w:val="hps"/>
          <w:rFonts w:cstheme="minorHAnsi"/>
          <w:sz w:val="24"/>
          <w:szCs w:val="24"/>
          <w:lang w:val="en-US"/>
        </w:rPr>
        <w:t xml:space="preserve"> HERACLES Research Center – CIRI, Aristotle University of Thessaloniki, Greece </w:t>
      </w:r>
    </w:p>
    <w:p w14:paraId="2F3CF4F7" w14:textId="77777777" w:rsidR="009A480C" w:rsidRPr="006F2199" w:rsidRDefault="009A480C" w:rsidP="009A480C">
      <w:pPr>
        <w:pStyle w:val="ListParagraph"/>
        <w:spacing w:line="240" w:lineRule="auto"/>
        <w:jc w:val="center"/>
        <w:rPr>
          <w:rStyle w:val="hps"/>
          <w:rFonts w:cstheme="minorHAnsi"/>
          <w:sz w:val="24"/>
          <w:szCs w:val="24"/>
          <w:lang w:val="en-US"/>
        </w:rPr>
      </w:pPr>
      <w:r w:rsidRPr="006F2199">
        <w:rPr>
          <w:rStyle w:val="hps"/>
          <w:rFonts w:cstheme="minorHAnsi"/>
          <w:sz w:val="24"/>
          <w:szCs w:val="24"/>
          <w:vertAlign w:val="superscript"/>
          <w:lang w:val="en-US"/>
        </w:rPr>
        <w:t>2</w:t>
      </w:r>
      <w:r w:rsidRPr="006F2199">
        <w:rPr>
          <w:rStyle w:val="hps"/>
          <w:rFonts w:cstheme="minorHAnsi"/>
          <w:sz w:val="24"/>
          <w:szCs w:val="24"/>
          <w:lang w:val="en-US"/>
        </w:rPr>
        <w:t xml:space="preserve"> Environmental Engineering Laboratory, Department of Chemical Engineering, Aristotle University of Thessaloniki, Greece</w:t>
      </w:r>
    </w:p>
    <w:p w14:paraId="508E628C" w14:textId="77777777" w:rsidR="009A480C" w:rsidRPr="006F2199" w:rsidRDefault="009A480C" w:rsidP="009A480C">
      <w:pPr>
        <w:pStyle w:val="ListParagraph"/>
        <w:spacing w:line="240" w:lineRule="auto"/>
        <w:jc w:val="center"/>
        <w:rPr>
          <w:rStyle w:val="hps"/>
          <w:rFonts w:cstheme="minorHAnsi"/>
          <w:sz w:val="24"/>
          <w:szCs w:val="24"/>
          <w:lang w:val="en-US"/>
        </w:rPr>
      </w:pPr>
      <w:r w:rsidRPr="006F2199">
        <w:rPr>
          <w:rStyle w:val="hps"/>
          <w:rFonts w:cstheme="minorHAnsi"/>
          <w:sz w:val="24"/>
          <w:szCs w:val="24"/>
          <w:vertAlign w:val="superscript"/>
          <w:lang w:val="en-US"/>
        </w:rPr>
        <w:t xml:space="preserve">3 </w:t>
      </w:r>
      <w:r w:rsidRPr="006F2199">
        <w:rPr>
          <w:rStyle w:val="hps"/>
          <w:rFonts w:cstheme="minorHAnsi"/>
          <w:sz w:val="24"/>
          <w:szCs w:val="24"/>
          <w:lang w:val="en-US"/>
        </w:rPr>
        <w:t>Environmental Health Engineering, School for Advanced Study IUSS, Pavia, Italy</w:t>
      </w:r>
    </w:p>
    <w:p w14:paraId="01678542" w14:textId="66F88D87" w:rsidR="009A480C" w:rsidRPr="006F2199" w:rsidRDefault="009A480C" w:rsidP="009A480C">
      <w:pPr>
        <w:pStyle w:val="ListParagraph"/>
        <w:spacing w:line="240" w:lineRule="auto"/>
        <w:jc w:val="center"/>
        <w:rPr>
          <w:rStyle w:val="hps"/>
          <w:rFonts w:cstheme="minorHAnsi"/>
          <w:sz w:val="24"/>
          <w:szCs w:val="24"/>
          <w:lang w:val="en-US"/>
        </w:rPr>
      </w:pPr>
      <w:r w:rsidRPr="006F2199">
        <w:rPr>
          <w:rStyle w:val="hps"/>
          <w:rFonts w:cstheme="minorHAnsi"/>
          <w:sz w:val="24"/>
          <w:szCs w:val="24"/>
          <w:vertAlign w:val="superscript"/>
          <w:lang w:val="en-US"/>
        </w:rPr>
        <w:t>4</w:t>
      </w:r>
      <w:r w:rsidRPr="006F2199">
        <w:rPr>
          <w:rStyle w:val="hps"/>
          <w:rFonts w:cstheme="minorHAnsi"/>
          <w:sz w:val="24"/>
          <w:szCs w:val="24"/>
          <w:lang w:val="en-US"/>
        </w:rPr>
        <w:t xml:space="preserve"> </w:t>
      </w:r>
      <w:proofErr w:type="spellStart"/>
      <w:r w:rsidR="004846C1" w:rsidRPr="006F2199">
        <w:rPr>
          <w:rStyle w:val="hps"/>
          <w:rFonts w:cstheme="minorHAnsi"/>
          <w:sz w:val="24"/>
          <w:szCs w:val="24"/>
          <w:lang w:val="en-US"/>
        </w:rPr>
        <w:t>Institut</w:t>
      </w:r>
      <w:proofErr w:type="spellEnd"/>
      <w:r w:rsidR="004846C1" w:rsidRPr="006F2199">
        <w:rPr>
          <w:rStyle w:val="hps"/>
          <w:rFonts w:cstheme="minorHAnsi"/>
          <w:sz w:val="24"/>
          <w:szCs w:val="24"/>
          <w:lang w:val="en-US"/>
        </w:rPr>
        <w:t xml:space="preserve"> de Recherche </w:t>
      </w:r>
      <w:proofErr w:type="spellStart"/>
      <w:r w:rsidR="004846C1" w:rsidRPr="006F2199">
        <w:rPr>
          <w:rStyle w:val="hps"/>
          <w:rFonts w:cstheme="minorHAnsi"/>
          <w:sz w:val="24"/>
          <w:szCs w:val="24"/>
          <w:lang w:val="en-US"/>
        </w:rPr>
        <w:t>en</w:t>
      </w:r>
      <w:proofErr w:type="spellEnd"/>
      <w:r w:rsidR="004846C1" w:rsidRPr="006F2199">
        <w:rPr>
          <w:rStyle w:val="hps"/>
          <w:rFonts w:cstheme="minorHAnsi"/>
          <w:sz w:val="24"/>
          <w:szCs w:val="24"/>
          <w:lang w:val="en-US"/>
        </w:rPr>
        <w:t xml:space="preserve"> </w:t>
      </w:r>
      <w:proofErr w:type="spellStart"/>
      <w:r w:rsidR="004846C1" w:rsidRPr="006F2199">
        <w:rPr>
          <w:rStyle w:val="hps"/>
          <w:rFonts w:cstheme="minorHAnsi"/>
          <w:sz w:val="24"/>
          <w:szCs w:val="24"/>
          <w:lang w:val="en-US"/>
        </w:rPr>
        <w:t>Santé</w:t>
      </w:r>
      <w:proofErr w:type="spellEnd"/>
      <w:r w:rsidR="004846C1" w:rsidRPr="006F2199">
        <w:rPr>
          <w:rStyle w:val="hps"/>
          <w:rFonts w:cstheme="minorHAnsi"/>
          <w:sz w:val="24"/>
          <w:szCs w:val="24"/>
          <w:lang w:val="en-US"/>
        </w:rPr>
        <w:t xml:space="preserve">, </w:t>
      </w:r>
      <w:proofErr w:type="spellStart"/>
      <w:r w:rsidR="004846C1" w:rsidRPr="006F2199">
        <w:rPr>
          <w:rStyle w:val="hps"/>
          <w:rFonts w:cstheme="minorHAnsi"/>
          <w:sz w:val="24"/>
          <w:szCs w:val="24"/>
          <w:lang w:val="en-US"/>
        </w:rPr>
        <w:t>Environnement</w:t>
      </w:r>
      <w:proofErr w:type="spellEnd"/>
      <w:r w:rsidR="004846C1" w:rsidRPr="006F2199">
        <w:rPr>
          <w:rStyle w:val="hps"/>
          <w:rFonts w:cstheme="minorHAnsi"/>
          <w:sz w:val="24"/>
          <w:szCs w:val="24"/>
          <w:lang w:val="en-US"/>
        </w:rPr>
        <w:t xml:space="preserve"> et Travail, Univ Rennes, </w:t>
      </w:r>
      <w:proofErr w:type="spellStart"/>
      <w:r w:rsidR="004846C1" w:rsidRPr="006F2199">
        <w:rPr>
          <w:rStyle w:val="hps"/>
          <w:rFonts w:cstheme="minorHAnsi"/>
          <w:sz w:val="24"/>
          <w:szCs w:val="24"/>
          <w:lang w:val="en-US"/>
        </w:rPr>
        <w:t>Inserm</w:t>
      </w:r>
      <w:proofErr w:type="spellEnd"/>
      <w:r w:rsidR="004846C1" w:rsidRPr="006F2199">
        <w:rPr>
          <w:rStyle w:val="hps"/>
          <w:rFonts w:cstheme="minorHAnsi"/>
          <w:sz w:val="24"/>
          <w:szCs w:val="24"/>
          <w:lang w:val="en-US"/>
        </w:rPr>
        <w:t>, EHESP, IRSET, Rennes, Franc</w:t>
      </w:r>
      <w:r w:rsidR="004942C2">
        <w:rPr>
          <w:rStyle w:val="hps"/>
          <w:rFonts w:cstheme="minorHAnsi"/>
          <w:sz w:val="24"/>
          <w:szCs w:val="24"/>
          <w:lang w:val="en-US"/>
        </w:rPr>
        <w:t>e</w:t>
      </w:r>
    </w:p>
    <w:p w14:paraId="7B6FD3C5" w14:textId="146C1014" w:rsidR="009A480C" w:rsidRPr="006F2199" w:rsidRDefault="009A480C" w:rsidP="009A480C">
      <w:pPr>
        <w:pStyle w:val="ListParagraph"/>
        <w:spacing w:line="240" w:lineRule="auto"/>
        <w:jc w:val="center"/>
        <w:rPr>
          <w:rStyle w:val="hps"/>
          <w:rFonts w:cstheme="minorHAnsi"/>
          <w:sz w:val="24"/>
          <w:szCs w:val="24"/>
          <w:lang w:val="en-US"/>
        </w:rPr>
      </w:pPr>
      <w:r w:rsidRPr="006F2199">
        <w:rPr>
          <w:rStyle w:val="hps"/>
          <w:rFonts w:cstheme="minorHAnsi"/>
          <w:sz w:val="24"/>
          <w:szCs w:val="24"/>
          <w:vertAlign w:val="superscript"/>
          <w:lang w:val="en-US"/>
        </w:rPr>
        <w:t>5</w:t>
      </w:r>
      <w:r w:rsidRPr="004846C1">
        <w:rPr>
          <w:rStyle w:val="hps"/>
          <w:rFonts w:cstheme="minorHAnsi"/>
          <w:sz w:val="24"/>
          <w:szCs w:val="24"/>
          <w:vertAlign w:val="superscript"/>
          <w:lang w:val="en-US"/>
        </w:rPr>
        <w:t xml:space="preserve"> </w:t>
      </w:r>
      <w:r w:rsidR="004846C1" w:rsidRPr="006F2199">
        <w:rPr>
          <w:rStyle w:val="hps"/>
          <w:rFonts w:cstheme="minorHAnsi"/>
          <w:sz w:val="24"/>
          <w:szCs w:val="24"/>
          <w:lang w:val="en-US"/>
        </w:rPr>
        <w:t xml:space="preserve">INSERM UMR-S 1124, </w:t>
      </w:r>
      <w:proofErr w:type="spellStart"/>
      <w:r w:rsidR="004846C1" w:rsidRPr="006F2199">
        <w:rPr>
          <w:rStyle w:val="hps"/>
          <w:rFonts w:cstheme="minorHAnsi"/>
          <w:sz w:val="24"/>
          <w:szCs w:val="24"/>
          <w:lang w:val="en-US"/>
        </w:rPr>
        <w:t>Toxicité</w:t>
      </w:r>
      <w:proofErr w:type="spellEnd"/>
      <w:r w:rsidR="004846C1" w:rsidRPr="006F2199">
        <w:rPr>
          <w:rStyle w:val="hps"/>
          <w:rFonts w:cstheme="minorHAnsi"/>
          <w:sz w:val="24"/>
          <w:szCs w:val="24"/>
          <w:lang w:val="en-US"/>
        </w:rPr>
        <w:t xml:space="preserve"> </w:t>
      </w:r>
      <w:proofErr w:type="spellStart"/>
      <w:r w:rsidR="004846C1" w:rsidRPr="006F2199">
        <w:rPr>
          <w:rStyle w:val="hps"/>
          <w:rFonts w:cstheme="minorHAnsi"/>
          <w:sz w:val="24"/>
          <w:szCs w:val="24"/>
          <w:lang w:val="en-US"/>
        </w:rPr>
        <w:t>Environnementale</w:t>
      </w:r>
      <w:proofErr w:type="spellEnd"/>
      <w:r w:rsidR="004846C1" w:rsidRPr="006F2199">
        <w:rPr>
          <w:rStyle w:val="hps"/>
          <w:rFonts w:cstheme="minorHAnsi"/>
          <w:sz w:val="24"/>
          <w:szCs w:val="24"/>
          <w:lang w:val="en-US"/>
        </w:rPr>
        <w:t xml:space="preserve">, </w:t>
      </w:r>
      <w:proofErr w:type="spellStart"/>
      <w:r w:rsidR="004846C1" w:rsidRPr="006F2199">
        <w:rPr>
          <w:rStyle w:val="hps"/>
          <w:rFonts w:cstheme="minorHAnsi"/>
          <w:sz w:val="24"/>
          <w:szCs w:val="24"/>
          <w:lang w:val="en-US"/>
        </w:rPr>
        <w:t>Cibles</w:t>
      </w:r>
      <w:proofErr w:type="spellEnd"/>
      <w:r w:rsidR="004846C1" w:rsidRPr="006F2199">
        <w:rPr>
          <w:rStyle w:val="hps"/>
          <w:rFonts w:cstheme="minorHAnsi"/>
          <w:sz w:val="24"/>
          <w:szCs w:val="24"/>
          <w:lang w:val="en-US"/>
        </w:rPr>
        <w:t xml:space="preserve"> </w:t>
      </w:r>
      <w:proofErr w:type="spellStart"/>
      <w:r w:rsidR="004846C1" w:rsidRPr="006F2199">
        <w:rPr>
          <w:rStyle w:val="hps"/>
          <w:rFonts w:cstheme="minorHAnsi"/>
          <w:sz w:val="24"/>
          <w:szCs w:val="24"/>
          <w:lang w:val="en-US"/>
        </w:rPr>
        <w:t>Thérapeutiques</w:t>
      </w:r>
      <w:proofErr w:type="spellEnd"/>
      <w:r w:rsidR="004846C1" w:rsidRPr="006F2199">
        <w:rPr>
          <w:rStyle w:val="hps"/>
          <w:rFonts w:cstheme="minorHAnsi"/>
          <w:sz w:val="24"/>
          <w:szCs w:val="24"/>
          <w:lang w:val="en-US"/>
        </w:rPr>
        <w:t xml:space="preserve">, </w:t>
      </w:r>
      <w:proofErr w:type="spellStart"/>
      <w:r w:rsidR="004846C1" w:rsidRPr="006F2199">
        <w:rPr>
          <w:rStyle w:val="hps"/>
          <w:rFonts w:cstheme="minorHAnsi"/>
          <w:sz w:val="24"/>
          <w:szCs w:val="24"/>
          <w:lang w:val="en-US"/>
        </w:rPr>
        <w:t>Signalisation</w:t>
      </w:r>
      <w:proofErr w:type="spellEnd"/>
      <w:r w:rsidR="004846C1" w:rsidRPr="006F2199">
        <w:rPr>
          <w:rStyle w:val="hps"/>
          <w:rFonts w:cstheme="minorHAnsi"/>
          <w:sz w:val="24"/>
          <w:szCs w:val="24"/>
          <w:lang w:val="en-US"/>
        </w:rPr>
        <w:t xml:space="preserve"> </w:t>
      </w:r>
      <w:proofErr w:type="spellStart"/>
      <w:r w:rsidR="004846C1" w:rsidRPr="006F2199">
        <w:rPr>
          <w:rStyle w:val="hps"/>
          <w:rFonts w:cstheme="minorHAnsi"/>
          <w:sz w:val="24"/>
          <w:szCs w:val="24"/>
          <w:lang w:val="en-US"/>
        </w:rPr>
        <w:t>Cellulaire</w:t>
      </w:r>
      <w:proofErr w:type="spellEnd"/>
      <w:r w:rsidR="004846C1" w:rsidRPr="006F2199">
        <w:rPr>
          <w:rStyle w:val="hps"/>
          <w:rFonts w:cstheme="minorHAnsi"/>
          <w:sz w:val="24"/>
          <w:szCs w:val="24"/>
          <w:lang w:val="en-US"/>
        </w:rPr>
        <w:t xml:space="preserve"> et </w:t>
      </w:r>
      <w:proofErr w:type="spellStart"/>
      <w:r w:rsidR="004846C1" w:rsidRPr="006F2199">
        <w:rPr>
          <w:rStyle w:val="hps"/>
          <w:rFonts w:cstheme="minorHAnsi"/>
          <w:sz w:val="24"/>
          <w:szCs w:val="24"/>
          <w:lang w:val="en-US"/>
        </w:rPr>
        <w:t>Biomarqueurs</w:t>
      </w:r>
      <w:proofErr w:type="spellEnd"/>
      <w:r w:rsidR="004942C2">
        <w:rPr>
          <w:rStyle w:val="hps"/>
          <w:rFonts w:cstheme="minorHAnsi"/>
          <w:sz w:val="24"/>
          <w:szCs w:val="24"/>
          <w:lang w:val="en-US"/>
        </w:rPr>
        <w:t xml:space="preserve">, </w:t>
      </w:r>
      <w:r w:rsidR="004942C2" w:rsidRPr="006F2199">
        <w:rPr>
          <w:rStyle w:val="hps"/>
          <w:rFonts w:cstheme="minorHAnsi"/>
          <w:sz w:val="24"/>
          <w:szCs w:val="24"/>
          <w:lang w:val="en-US"/>
        </w:rPr>
        <w:t>Franc</w:t>
      </w:r>
      <w:r w:rsidR="004942C2">
        <w:rPr>
          <w:rStyle w:val="hps"/>
          <w:rFonts w:cstheme="minorHAnsi"/>
          <w:sz w:val="24"/>
          <w:szCs w:val="24"/>
          <w:lang w:val="en-US"/>
        </w:rPr>
        <w:t>e</w:t>
      </w:r>
    </w:p>
    <w:p w14:paraId="0907CBFB" w14:textId="77777777" w:rsidR="004942C2" w:rsidRDefault="009A480C" w:rsidP="009A480C">
      <w:pPr>
        <w:pStyle w:val="ListParagraph"/>
        <w:spacing w:before="0" w:line="240" w:lineRule="auto"/>
        <w:ind w:left="0"/>
        <w:contextualSpacing w:val="0"/>
        <w:jc w:val="center"/>
        <w:rPr>
          <w:rStyle w:val="hps"/>
          <w:rFonts w:cstheme="minorHAnsi"/>
          <w:sz w:val="24"/>
          <w:szCs w:val="24"/>
          <w:lang w:val="en-US"/>
        </w:rPr>
      </w:pPr>
      <w:r w:rsidRPr="006F2199">
        <w:rPr>
          <w:rStyle w:val="hps"/>
          <w:rFonts w:cstheme="minorHAnsi"/>
          <w:sz w:val="24"/>
          <w:szCs w:val="24"/>
          <w:vertAlign w:val="superscript"/>
          <w:lang w:val="en-US"/>
        </w:rPr>
        <w:t>6</w:t>
      </w:r>
      <w:r w:rsidRPr="004846C1">
        <w:rPr>
          <w:rStyle w:val="hps"/>
          <w:rFonts w:cstheme="minorHAnsi"/>
          <w:sz w:val="24"/>
          <w:szCs w:val="24"/>
          <w:lang w:val="en-US"/>
        </w:rPr>
        <w:t xml:space="preserve"> </w:t>
      </w:r>
      <w:r w:rsidR="004846C1" w:rsidRPr="006F2199">
        <w:rPr>
          <w:rStyle w:val="hps"/>
          <w:rFonts w:cstheme="minorHAnsi"/>
          <w:sz w:val="24"/>
          <w:szCs w:val="24"/>
          <w:lang w:val="en-US"/>
        </w:rPr>
        <w:t xml:space="preserve">Université de Paris, Université Paris Descartes, </w:t>
      </w:r>
      <w:r w:rsidR="004942C2" w:rsidRPr="006F2199">
        <w:rPr>
          <w:rStyle w:val="hps"/>
          <w:rFonts w:cstheme="minorHAnsi"/>
          <w:sz w:val="24"/>
          <w:szCs w:val="24"/>
          <w:lang w:val="en-US"/>
        </w:rPr>
        <w:t>Franc</w:t>
      </w:r>
      <w:r w:rsidR="004942C2">
        <w:rPr>
          <w:rStyle w:val="hps"/>
          <w:rFonts w:cstheme="minorHAnsi"/>
          <w:sz w:val="24"/>
          <w:szCs w:val="24"/>
          <w:lang w:val="en-US"/>
        </w:rPr>
        <w:t>e</w:t>
      </w:r>
      <w:r w:rsidR="004942C2" w:rsidRPr="006F2199">
        <w:rPr>
          <w:rStyle w:val="hps"/>
          <w:rFonts w:cstheme="minorHAnsi"/>
          <w:sz w:val="24"/>
          <w:szCs w:val="24"/>
          <w:lang w:val="en-US"/>
        </w:rPr>
        <w:t xml:space="preserve"> </w:t>
      </w:r>
    </w:p>
    <w:p w14:paraId="5C972B3D" w14:textId="6BA75A30" w:rsidR="00257888" w:rsidRPr="00937284" w:rsidRDefault="00257888" w:rsidP="009A480C">
      <w:pPr>
        <w:pStyle w:val="ListParagraph"/>
        <w:spacing w:before="0" w:line="240" w:lineRule="auto"/>
        <w:ind w:left="0"/>
        <w:contextualSpacing w:val="0"/>
        <w:jc w:val="center"/>
        <w:rPr>
          <w:rStyle w:val="hps"/>
          <w:rFonts w:cs="Times New Roman"/>
          <w:b/>
          <w:color w:val="0070C0"/>
          <w:szCs w:val="24"/>
          <w:lang w:val="en-US"/>
        </w:rPr>
      </w:pPr>
      <w:r w:rsidRPr="004846C1">
        <w:rPr>
          <w:rFonts w:eastAsia="Times New Roman" w:cs="Times New Roman"/>
          <w:i/>
          <w:szCs w:val="24"/>
          <w:lang w:val="en-US"/>
        </w:rPr>
        <w:t xml:space="preserve"> </w:t>
      </w:r>
      <w:r w:rsidR="002937B1" w:rsidRPr="004846C1">
        <w:rPr>
          <w:rFonts w:cs="Times New Roman"/>
          <w:i/>
          <w:szCs w:val="24"/>
          <w:lang w:val="en-US"/>
        </w:rPr>
        <w:t>*</w:t>
      </w:r>
      <w:r w:rsidR="00C04EBD" w:rsidRPr="004846C1">
        <w:rPr>
          <w:rFonts w:cs="Times New Roman"/>
          <w:i/>
          <w:szCs w:val="24"/>
          <w:lang w:val="en-US"/>
        </w:rPr>
        <w:t xml:space="preserve"> </w:t>
      </w:r>
      <w:r w:rsidR="009A480C" w:rsidRPr="004846C1">
        <w:rPr>
          <w:rFonts w:asciiTheme="majorHAnsi" w:hAnsiTheme="majorHAnsi" w:cstheme="majorHAnsi"/>
          <w:lang w:val="it-IT"/>
        </w:rPr>
        <w:t xml:space="preserve"> </w:t>
      </w:r>
      <w:r w:rsidR="004942C2">
        <w:rPr>
          <w:rStyle w:val="Hyperlink"/>
          <w:rFonts w:asciiTheme="majorHAnsi" w:hAnsiTheme="majorHAnsi" w:cstheme="majorHAnsi"/>
          <w:color w:val="0070C0"/>
          <w:lang w:val="it-IT"/>
        </w:rPr>
        <w:fldChar w:fldCharType="begin"/>
      </w:r>
      <w:r w:rsidR="004942C2">
        <w:rPr>
          <w:rStyle w:val="Hyperlink"/>
          <w:rFonts w:asciiTheme="majorHAnsi" w:hAnsiTheme="majorHAnsi" w:cstheme="majorHAnsi"/>
          <w:color w:val="0070C0"/>
          <w:lang w:val="it-IT"/>
        </w:rPr>
        <w:instrText xml:space="preserve"> </w:instrText>
      </w:r>
      <w:r w:rsidR="004942C2" w:rsidRPr="004846C1">
        <w:rPr>
          <w:rStyle w:val="Hyperlink"/>
          <w:rFonts w:asciiTheme="majorHAnsi" w:hAnsiTheme="majorHAnsi" w:cstheme="majorHAnsi"/>
          <w:color w:val="0070C0"/>
          <w:lang w:val="it-IT"/>
        </w:rPr>
        <w:instrText>denis@eng.auth.gr</w:instrText>
      </w:r>
      <w:r w:rsidR="004942C2">
        <w:rPr>
          <w:rStyle w:val="Hyperlink"/>
          <w:rFonts w:asciiTheme="majorHAnsi" w:hAnsiTheme="majorHAnsi" w:cstheme="majorHAnsi"/>
          <w:color w:val="0070C0"/>
          <w:lang w:val="it-IT"/>
        </w:rPr>
        <w:instrText xml:space="preserve">" </w:instrText>
      </w:r>
      <w:r w:rsidR="004942C2">
        <w:rPr>
          <w:rStyle w:val="Hyperlink"/>
          <w:rFonts w:asciiTheme="majorHAnsi" w:hAnsiTheme="majorHAnsi" w:cstheme="majorHAnsi"/>
          <w:color w:val="0070C0"/>
          <w:lang w:val="it-IT"/>
        </w:rPr>
        <w:fldChar w:fldCharType="separate"/>
      </w:r>
      <w:r w:rsidR="004942C2" w:rsidRPr="006C16EA">
        <w:rPr>
          <w:rStyle w:val="Hyperlink"/>
          <w:rFonts w:asciiTheme="majorHAnsi" w:hAnsiTheme="majorHAnsi" w:cstheme="majorHAnsi"/>
          <w:lang w:val="it-IT"/>
        </w:rPr>
        <w:t>denis@eng.auth.gr</w:t>
      </w:r>
      <w:r w:rsidR="004942C2">
        <w:rPr>
          <w:rStyle w:val="Hyperlink"/>
          <w:rFonts w:asciiTheme="majorHAnsi" w:hAnsiTheme="majorHAnsi" w:cstheme="majorHAnsi"/>
          <w:color w:val="0070C0"/>
          <w:lang w:val="it-IT"/>
        </w:rPr>
        <w:fldChar w:fldCharType="end"/>
      </w:r>
    </w:p>
    <w:p w14:paraId="5FAC71C2" w14:textId="77777777" w:rsidR="00937284" w:rsidRDefault="00937284" w:rsidP="001327BE">
      <w:pPr>
        <w:spacing w:after="20" w:line="240" w:lineRule="auto"/>
        <w:jc w:val="both"/>
        <w:rPr>
          <w:rStyle w:val="hps"/>
          <w:rFonts w:cs="Times New Roman"/>
          <w:b/>
          <w:color w:val="auto"/>
          <w:szCs w:val="24"/>
          <w:lang w:val="en-US"/>
        </w:rPr>
      </w:pPr>
    </w:p>
    <w:p w14:paraId="2E62B893" w14:textId="4D7D6C31" w:rsidR="002937B1" w:rsidRPr="006F2199" w:rsidRDefault="00650F36" w:rsidP="001327BE">
      <w:pPr>
        <w:spacing w:after="20" w:line="240" w:lineRule="auto"/>
        <w:jc w:val="both"/>
        <w:rPr>
          <w:rStyle w:val="hps"/>
          <w:rFonts w:cs="Times New Roman"/>
          <w:b/>
          <w:color w:val="auto"/>
          <w:szCs w:val="24"/>
          <w:lang w:val="en-US"/>
        </w:rPr>
      </w:pPr>
      <w:r w:rsidRPr="00294F8F">
        <w:rPr>
          <w:rStyle w:val="hps"/>
          <w:rFonts w:cs="Times New Roman"/>
          <w:b/>
          <w:color w:val="auto"/>
          <w:szCs w:val="24"/>
          <w:lang w:val="en-US"/>
        </w:rPr>
        <w:t>ABSTRACT</w:t>
      </w:r>
    </w:p>
    <w:p w14:paraId="77E0CE9D" w14:textId="330F7557" w:rsidR="00294F8F" w:rsidRPr="0045567B" w:rsidRDefault="00294F8F" w:rsidP="00294F8F">
      <w:pPr>
        <w:spacing w:after="20" w:line="240" w:lineRule="auto"/>
        <w:jc w:val="both"/>
        <w:rPr>
          <w:rFonts w:cs="Times New Roman"/>
          <w:szCs w:val="24"/>
          <w:lang w:val="en-US"/>
        </w:rPr>
      </w:pPr>
      <w:r w:rsidRPr="00294F8F">
        <w:rPr>
          <w:rStyle w:val="hps"/>
          <w:rFonts w:cs="Times New Roman"/>
          <w:szCs w:val="24"/>
          <w:lang w:val="en-US"/>
        </w:rPr>
        <w:t>Th</w:t>
      </w:r>
      <w:r w:rsidR="0045567B">
        <w:rPr>
          <w:rStyle w:val="hps"/>
          <w:rFonts w:cs="Times New Roman"/>
          <w:szCs w:val="24"/>
          <w:lang w:val="en-US"/>
        </w:rPr>
        <w:t>is study aimed</w:t>
      </w:r>
      <w:r w:rsidRPr="00294F8F">
        <w:rPr>
          <w:rStyle w:val="hps"/>
          <w:rFonts w:cs="Times New Roman"/>
          <w:szCs w:val="24"/>
          <w:lang w:val="en-US"/>
        </w:rPr>
        <w:t xml:space="preserve"> to assess metabolomic responses of</w:t>
      </w:r>
      <w:r w:rsidR="00D53195">
        <w:rPr>
          <w:rStyle w:val="hps"/>
          <w:rFonts w:cs="Times New Roman"/>
          <w:szCs w:val="24"/>
          <w:lang w:val="en-US"/>
        </w:rPr>
        <w:t xml:space="preserve"> 2D and 3D h</w:t>
      </w:r>
      <w:r w:rsidR="00D53195" w:rsidRPr="00D53195">
        <w:rPr>
          <w:rStyle w:val="hps"/>
          <w:rFonts w:cs="Times New Roman"/>
          <w:szCs w:val="24"/>
          <w:lang w:val="en-US"/>
        </w:rPr>
        <w:t xml:space="preserve">epatocyte </w:t>
      </w:r>
      <w:r w:rsidR="00D53195">
        <w:rPr>
          <w:rStyle w:val="hps"/>
          <w:rFonts w:cs="Times New Roman"/>
          <w:szCs w:val="24"/>
          <w:lang w:val="en-US"/>
        </w:rPr>
        <w:t>c</w:t>
      </w:r>
      <w:r w:rsidR="00D53195" w:rsidRPr="00D53195">
        <w:rPr>
          <w:rStyle w:val="hps"/>
          <w:rFonts w:cs="Times New Roman"/>
          <w:szCs w:val="24"/>
          <w:lang w:val="en-US"/>
        </w:rPr>
        <w:t xml:space="preserve">ell </w:t>
      </w:r>
      <w:r w:rsidR="00D53195">
        <w:rPr>
          <w:rStyle w:val="hps"/>
          <w:rFonts w:cs="Times New Roman"/>
          <w:szCs w:val="24"/>
          <w:lang w:val="en-US"/>
        </w:rPr>
        <w:t>c</w:t>
      </w:r>
      <w:r w:rsidR="00D53195" w:rsidRPr="00D53195">
        <w:rPr>
          <w:rStyle w:val="hps"/>
          <w:rFonts w:cs="Times New Roman"/>
          <w:szCs w:val="24"/>
          <w:lang w:val="en-US"/>
        </w:rPr>
        <w:t>ulture</w:t>
      </w:r>
      <w:r w:rsidR="00D53195">
        <w:rPr>
          <w:rStyle w:val="hps"/>
          <w:rFonts w:cs="Times New Roman"/>
          <w:szCs w:val="24"/>
          <w:lang w:val="en-US"/>
        </w:rPr>
        <w:t xml:space="preserve"> samples</w:t>
      </w:r>
      <w:r w:rsidRPr="00294F8F">
        <w:rPr>
          <w:rStyle w:val="hps"/>
          <w:rFonts w:cs="Times New Roman"/>
          <w:szCs w:val="24"/>
          <w:lang w:val="en-US"/>
        </w:rPr>
        <w:t xml:space="preserve"> exposed to </w:t>
      </w:r>
      <w:r w:rsidR="0045567B">
        <w:rPr>
          <w:rStyle w:val="hps"/>
          <w:rFonts w:cs="Times New Roman"/>
          <w:szCs w:val="24"/>
          <w:lang w:val="en-US"/>
        </w:rPr>
        <w:t>a</w:t>
      </w:r>
      <w:r w:rsidRPr="00294F8F">
        <w:rPr>
          <w:rStyle w:val="hps"/>
          <w:rFonts w:cs="Times New Roman"/>
          <w:szCs w:val="24"/>
          <w:lang w:val="en-US"/>
        </w:rPr>
        <w:t>miodarone and DEHP. We performed global untargeted metabolomics analysis using an Agilent 6540 QTOF instrument, two different analytical columns (C18</w:t>
      </w:r>
      <w:r>
        <w:rPr>
          <w:rStyle w:val="hps"/>
          <w:rFonts w:cs="Times New Roman"/>
          <w:szCs w:val="24"/>
          <w:lang w:val="en-US"/>
        </w:rPr>
        <w:t xml:space="preserve"> - </w:t>
      </w:r>
      <w:r w:rsidRPr="00294F8F">
        <w:rPr>
          <w:rStyle w:val="hps"/>
          <w:rFonts w:cs="Times New Roman"/>
          <w:szCs w:val="24"/>
          <w:lang w:val="en-US"/>
        </w:rPr>
        <w:t xml:space="preserve">RP and HILIC), and two different </w:t>
      </w:r>
      <w:proofErr w:type="spellStart"/>
      <w:r w:rsidRPr="00294F8F">
        <w:rPr>
          <w:rStyle w:val="hps"/>
          <w:rFonts w:cs="Times New Roman"/>
          <w:szCs w:val="24"/>
          <w:lang w:val="en-US"/>
        </w:rPr>
        <w:t>ionisation</w:t>
      </w:r>
      <w:proofErr w:type="spellEnd"/>
      <w:r w:rsidRPr="00294F8F">
        <w:rPr>
          <w:rStyle w:val="hps"/>
          <w:rFonts w:cs="Times New Roman"/>
          <w:szCs w:val="24"/>
          <w:lang w:val="en-US"/>
        </w:rPr>
        <w:t xml:space="preserve"> modes (positive and negative) to increase the coverage of the detected metabolites to the maximum. Data pre-processing and processing, which included data cleaning, log transformation, normalisation, and batch effects correction</w:t>
      </w:r>
      <w:r w:rsidR="0045567B">
        <w:rPr>
          <w:rStyle w:val="hps"/>
          <w:rFonts w:cs="Times New Roman"/>
          <w:szCs w:val="24"/>
          <w:lang w:val="en-US"/>
        </w:rPr>
        <w:t>,</w:t>
      </w:r>
      <w:r w:rsidRPr="00294F8F">
        <w:rPr>
          <w:rStyle w:val="hps"/>
          <w:rFonts w:cs="Times New Roman"/>
          <w:szCs w:val="24"/>
          <w:lang w:val="en-US"/>
        </w:rPr>
        <w:t xml:space="preserve"> was performed using the R - based package</w:t>
      </w:r>
      <w:r w:rsidR="0045567B">
        <w:rPr>
          <w:rStyle w:val="hps"/>
          <w:rFonts w:cs="Times New Roman"/>
          <w:szCs w:val="24"/>
          <w:lang w:val="en-US"/>
        </w:rPr>
        <w:t xml:space="preserve">s </w:t>
      </w:r>
      <w:proofErr w:type="gramStart"/>
      <w:r w:rsidR="0045567B">
        <w:rPr>
          <w:rStyle w:val="hps"/>
          <w:rFonts w:cs="Times New Roman"/>
          <w:szCs w:val="24"/>
          <w:lang w:val="en-US"/>
        </w:rPr>
        <w:t>e.g.</w:t>
      </w:r>
      <w:proofErr w:type="gramEnd"/>
      <w:r w:rsidRPr="00294F8F">
        <w:rPr>
          <w:rStyle w:val="hps"/>
          <w:rFonts w:cs="Times New Roman"/>
          <w:szCs w:val="24"/>
          <w:lang w:val="en-US"/>
        </w:rPr>
        <w:t xml:space="preserve"> XCMS. </w:t>
      </w:r>
      <w:r w:rsidRPr="00294F8F">
        <w:rPr>
          <w:rFonts w:cstheme="minorHAnsi"/>
          <w:szCs w:val="24"/>
        </w:rPr>
        <w:t xml:space="preserve">An R package, called </w:t>
      </w:r>
      <w:proofErr w:type="spellStart"/>
      <w:r w:rsidRPr="00294F8F">
        <w:rPr>
          <w:rFonts w:cstheme="minorHAnsi"/>
          <w:szCs w:val="24"/>
        </w:rPr>
        <w:t>xMSannotator</w:t>
      </w:r>
      <w:proofErr w:type="spellEnd"/>
      <w:r w:rsidRPr="00294F8F">
        <w:rPr>
          <w:rFonts w:cstheme="minorHAnsi"/>
          <w:szCs w:val="24"/>
        </w:rPr>
        <w:t>, was used for Network-Based annotation retrieving information from</w:t>
      </w:r>
      <w:r w:rsidR="009A480C" w:rsidRPr="00294F8F">
        <w:rPr>
          <w:rStyle w:val="hps"/>
          <w:rFonts w:cs="Times New Roman"/>
          <w:szCs w:val="24"/>
          <w:lang w:val="en-US"/>
        </w:rPr>
        <w:t xml:space="preserve"> HMDB, </w:t>
      </w:r>
      <w:proofErr w:type="spellStart"/>
      <w:r w:rsidR="009A480C" w:rsidRPr="00294F8F">
        <w:rPr>
          <w:rStyle w:val="hps"/>
          <w:rFonts w:cs="Times New Roman"/>
          <w:szCs w:val="24"/>
          <w:lang w:val="en-US"/>
        </w:rPr>
        <w:t>Metlin</w:t>
      </w:r>
      <w:proofErr w:type="spellEnd"/>
      <w:r w:rsidR="009A480C" w:rsidRPr="00294F8F">
        <w:rPr>
          <w:rStyle w:val="hps"/>
          <w:rFonts w:cs="Times New Roman"/>
          <w:szCs w:val="24"/>
          <w:lang w:val="en-US"/>
        </w:rPr>
        <w:t>, and Lipid Maps</w:t>
      </w:r>
      <w:r w:rsidRPr="00294F8F">
        <w:rPr>
          <w:rStyle w:val="hps"/>
          <w:rFonts w:cs="Times New Roman"/>
          <w:szCs w:val="24"/>
          <w:lang w:val="en-US"/>
        </w:rPr>
        <w:t>.</w:t>
      </w:r>
      <w:r w:rsidR="009A480C" w:rsidRPr="00294F8F">
        <w:rPr>
          <w:rStyle w:val="hps"/>
          <w:rFonts w:cs="Times New Roman"/>
          <w:szCs w:val="24"/>
          <w:lang w:val="en-US"/>
        </w:rPr>
        <w:t xml:space="preserve"> </w:t>
      </w:r>
      <w:r w:rsidRPr="00294F8F">
        <w:rPr>
          <w:rFonts w:cstheme="minorHAnsi"/>
          <w:bCs/>
          <w:szCs w:val="24"/>
          <w:lang w:val="en-US"/>
        </w:rPr>
        <w:t xml:space="preserve">The significantly differential metabolites were determined by </w:t>
      </w:r>
      <w:r w:rsidR="0045567B" w:rsidRPr="0045567B">
        <w:rPr>
          <w:rFonts w:cstheme="minorHAnsi"/>
          <w:bCs/>
          <w:szCs w:val="24"/>
          <w:lang w:val="en-US"/>
        </w:rPr>
        <w:t xml:space="preserve">ANOVA unequal variance test followed by the </w:t>
      </w:r>
      <w:proofErr w:type="spellStart"/>
      <w:r w:rsidR="0045567B" w:rsidRPr="0045567B">
        <w:rPr>
          <w:rFonts w:cstheme="minorHAnsi"/>
          <w:bCs/>
          <w:szCs w:val="24"/>
          <w:lang w:val="en-US"/>
        </w:rPr>
        <w:t>Benjamini</w:t>
      </w:r>
      <w:proofErr w:type="spellEnd"/>
      <w:r w:rsidR="0045567B" w:rsidRPr="0045567B">
        <w:rPr>
          <w:rFonts w:cstheme="minorHAnsi"/>
          <w:bCs/>
          <w:szCs w:val="24"/>
          <w:lang w:val="en-US"/>
        </w:rPr>
        <w:t>-Hochberg false discovery rate (FDR) correction</w:t>
      </w:r>
      <w:r w:rsidR="0045567B">
        <w:rPr>
          <w:rFonts w:cstheme="minorHAnsi"/>
          <w:bCs/>
          <w:szCs w:val="24"/>
          <w:lang w:val="en-US"/>
        </w:rPr>
        <w:t xml:space="preserve">. </w:t>
      </w:r>
      <w:r w:rsidR="0045567B" w:rsidRPr="0045567B">
        <w:rPr>
          <w:rStyle w:val="hps"/>
          <w:rFonts w:cs="Times New Roman"/>
          <w:szCs w:val="24"/>
          <w:lang w:val="en-US"/>
        </w:rPr>
        <w:t>We also performed multi-omics pathway analysis using the differential expressed genes and metabolites</w:t>
      </w:r>
      <w:r w:rsidR="0045567B">
        <w:rPr>
          <w:rStyle w:val="hps"/>
          <w:rFonts w:cs="Times New Roman"/>
          <w:szCs w:val="24"/>
          <w:lang w:val="en-US"/>
        </w:rPr>
        <w:t xml:space="preserve">. </w:t>
      </w:r>
      <w:r w:rsidR="0045567B" w:rsidRPr="0045567B">
        <w:rPr>
          <w:rStyle w:val="hps"/>
          <w:rFonts w:cs="Times New Roman"/>
          <w:szCs w:val="24"/>
          <w:lang w:val="en-US"/>
        </w:rPr>
        <w:t>Multi-omics pathway analysis is a powerful approach enabling interpretation of omics data at a higher level than individual biomarkers, thus providing mechanistic insight into biomarkers dysregulation, which is causative or indicative of metabolic disorders. We followed two different methods for the integrated analysis of transcriptomic and metabolomic data that exploits the fact that genes and metabolites are linked through biochemical reactions</w:t>
      </w:r>
      <w:r w:rsidR="0045567B">
        <w:rPr>
          <w:rStyle w:val="hps"/>
          <w:rFonts w:cs="Times New Roman"/>
          <w:szCs w:val="24"/>
          <w:lang w:val="en-US"/>
        </w:rPr>
        <w:t>,</w:t>
      </w:r>
      <w:r w:rsidR="0045567B" w:rsidRPr="0045567B">
        <w:rPr>
          <w:rStyle w:val="hps"/>
          <w:rFonts w:cs="Times New Roman"/>
          <w:szCs w:val="24"/>
          <w:lang w:val="en-US"/>
        </w:rPr>
        <w:t xml:space="preserve"> over-representation analysis (ORA) and enrichment analysis (EA). The joint p-value was calculated as described by </w:t>
      </w:r>
      <w:proofErr w:type="spellStart"/>
      <w:r w:rsidR="0045567B" w:rsidRPr="0045567B">
        <w:rPr>
          <w:rStyle w:val="hps"/>
          <w:rFonts w:cs="Times New Roman"/>
          <w:szCs w:val="24"/>
          <w:lang w:val="en-US"/>
        </w:rPr>
        <w:t>Cavill</w:t>
      </w:r>
      <w:proofErr w:type="spellEnd"/>
      <w:r w:rsidR="0045567B" w:rsidRPr="0045567B">
        <w:rPr>
          <w:rStyle w:val="hps"/>
          <w:rFonts w:cs="Times New Roman"/>
          <w:szCs w:val="24"/>
          <w:lang w:val="en-US"/>
        </w:rPr>
        <w:t xml:space="preserve"> et al. (2011)</w:t>
      </w:r>
      <w:r w:rsidR="0045567B" w:rsidRPr="0045567B">
        <w:t xml:space="preserve"> </w:t>
      </w:r>
      <w:r w:rsidR="0045567B" w:rsidRPr="0045567B">
        <w:rPr>
          <w:rStyle w:val="hps"/>
          <w:rFonts w:cs="Times New Roman"/>
          <w:szCs w:val="24"/>
          <w:lang w:val="en-US"/>
        </w:rPr>
        <w:t>[1]   based on the Fisher’s method was used to assess the joint expression/concentration difference of all the entities in each detected pathway</w:t>
      </w:r>
      <w:r w:rsidR="0045567B">
        <w:rPr>
          <w:rStyle w:val="hps"/>
          <w:rFonts w:cs="Times New Roman"/>
          <w:szCs w:val="24"/>
          <w:lang w:val="en-US"/>
        </w:rPr>
        <w:t xml:space="preserve">. </w:t>
      </w:r>
      <w:r w:rsidR="0045567B" w:rsidRPr="0045567B">
        <w:rPr>
          <w:rStyle w:val="hps"/>
          <w:rFonts w:cs="Times New Roman"/>
          <w:szCs w:val="24"/>
          <w:lang w:val="en-US"/>
        </w:rPr>
        <w:t xml:space="preserve">We assumed </w:t>
      </w:r>
      <w:r w:rsidR="0045567B">
        <w:rPr>
          <w:rStyle w:val="hps"/>
          <w:rFonts w:cs="Times New Roman"/>
          <w:szCs w:val="24"/>
          <w:lang w:val="en-US"/>
        </w:rPr>
        <w:t xml:space="preserve">the </w:t>
      </w:r>
      <w:r w:rsidR="0045567B" w:rsidRPr="0045567B">
        <w:rPr>
          <w:rStyle w:val="hps"/>
          <w:rFonts w:cs="Times New Roman"/>
          <w:szCs w:val="24"/>
          <w:lang w:val="en-US"/>
        </w:rPr>
        <w:t>independence of the pathway associations from the different data sets. Q-values were calculated with the false discovery rate method.</w:t>
      </w:r>
      <w:r w:rsidR="0045567B">
        <w:rPr>
          <w:rStyle w:val="hps"/>
          <w:rFonts w:cs="Times New Roman"/>
          <w:szCs w:val="24"/>
          <w:lang w:val="en-US"/>
        </w:rPr>
        <w:t xml:space="preserve"> </w:t>
      </w:r>
      <w:r w:rsidR="0045567B" w:rsidRPr="0045567B">
        <w:rPr>
          <w:szCs w:val="24"/>
        </w:rPr>
        <w:t>The majority of the annotated statistically significant belong to the lipids, more prec</w:t>
      </w:r>
      <w:r w:rsidR="0045567B">
        <w:rPr>
          <w:szCs w:val="24"/>
        </w:rPr>
        <w:t>ise</w:t>
      </w:r>
      <w:r w:rsidR="0045567B" w:rsidRPr="0045567B">
        <w:rPr>
          <w:szCs w:val="24"/>
        </w:rPr>
        <w:t>ly to the class of glycerophospholipids (49 out of the 87 metabolites), follow</w:t>
      </w:r>
      <w:r w:rsidR="0045567B">
        <w:rPr>
          <w:szCs w:val="24"/>
        </w:rPr>
        <w:t>ed</w:t>
      </w:r>
      <w:r w:rsidR="0045567B" w:rsidRPr="0045567B">
        <w:rPr>
          <w:szCs w:val="24"/>
        </w:rPr>
        <w:t xml:space="preserve"> by the fatty acyls (10/87). </w:t>
      </w:r>
      <w:r w:rsidR="0045567B">
        <w:rPr>
          <w:rFonts w:cstheme="minorHAnsi"/>
          <w:szCs w:val="24"/>
          <w:lang w:val="en-US"/>
        </w:rPr>
        <w:t xml:space="preserve">Multi-omics analysis resulted in </w:t>
      </w:r>
      <w:r w:rsidR="0045567B" w:rsidRPr="0045567B">
        <w:rPr>
          <w:rFonts w:cstheme="minorHAnsi"/>
          <w:szCs w:val="24"/>
          <w:lang w:val="en-US"/>
        </w:rPr>
        <w:t>142</w:t>
      </w:r>
      <w:r w:rsidR="0045567B">
        <w:rPr>
          <w:rFonts w:cstheme="minorHAnsi"/>
          <w:szCs w:val="24"/>
          <w:lang w:val="en-US"/>
        </w:rPr>
        <w:t xml:space="preserve"> significantly dysregulated pathways</w:t>
      </w:r>
      <w:r w:rsidR="004846C1">
        <w:rPr>
          <w:rFonts w:cstheme="minorHAnsi"/>
          <w:szCs w:val="24"/>
          <w:lang w:val="en-US"/>
        </w:rPr>
        <w:t xml:space="preserve"> </w:t>
      </w:r>
      <w:proofErr w:type="spellStart"/>
      <w:r w:rsidR="004846C1">
        <w:rPr>
          <w:rFonts w:cstheme="minorHAnsi"/>
          <w:szCs w:val="24"/>
          <w:lang w:val="en-US"/>
        </w:rPr>
        <w:t>pathways</w:t>
      </w:r>
      <w:proofErr w:type="spellEnd"/>
      <w:r w:rsidR="004846C1">
        <w:rPr>
          <w:rFonts w:cstheme="minorHAnsi"/>
          <w:szCs w:val="24"/>
          <w:lang w:val="en-US"/>
        </w:rPr>
        <w:t xml:space="preserve"> related to</w:t>
      </w:r>
      <w:r w:rsidR="004846C1" w:rsidRPr="0045567B">
        <w:rPr>
          <w:rFonts w:cstheme="minorHAnsi"/>
          <w:szCs w:val="24"/>
          <w:lang w:val="en-US"/>
        </w:rPr>
        <w:t xml:space="preserve"> oxidative stress and lipids metabolism</w:t>
      </w:r>
      <w:r w:rsidR="0045567B">
        <w:rPr>
          <w:rFonts w:cstheme="minorHAnsi"/>
          <w:szCs w:val="24"/>
          <w:lang w:val="en-US"/>
        </w:rPr>
        <w:t>.</w:t>
      </w:r>
      <w:r>
        <w:rPr>
          <w:rFonts w:cs="Times New Roman"/>
          <w:szCs w:val="24"/>
          <w:lang w:val="en-US"/>
        </w:rPr>
        <w:t xml:space="preserve"> </w:t>
      </w:r>
      <w:r w:rsidRPr="00294F8F">
        <w:rPr>
          <w:szCs w:val="24"/>
          <w:lang w:val="en-US"/>
        </w:rPr>
        <w:t xml:space="preserve">In conclusion, </w:t>
      </w:r>
      <w:r w:rsidR="0045567B">
        <w:rPr>
          <w:szCs w:val="24"/>
          <w:lang w:val="en-US"/>
        </w:rPr>
        <w:t xml:space="preserve">the multi-omics analysis </w:t>
      </w:r>
      <w:r w:rsidRPr="00294F8F">
        <w:rPr>
          <w:szCs w:val="24"/>
          <w:lang w:val="en-US"/>
        </w:rPr>
        <w:t>allowed the identification of potential biomarkers related to toxicity mechanisms of investigated pollutants</w:t>
      </w:r>
      <w:r w:rsidR="0045567B">
        <w:rPr>
          <w:szCs w:val="24"/>
          <w:lang w:val="en-US"/>
        </w:rPr>
        <w:t>.</w:t>
      </w:r>
    </w:p>
    <w:p w14:paraId="0160C135" w14:textId="77777777" w:rsidR="00294F8F" w:rsidRPr="009A480C" w:rsidRDefault="00294F8F" w:rsidP="00294F8F">
      <w:pPr>
        <w:spacing w:after="20" w:line="240" w:lineRule="auto"/>
        <w:jc w:val="both"/>
        <w:rPr>
          <w:rStyle w:val="hps"/>
          <w:rFonts w:cs="Times New Roman"/>
          <w:szCs w:val="24"/>
          <w:lang w:val="en-US"/>
        </w:rPr>
      </w:pPr>
    </w:p>
    <w:p w14:paraId="47CE261A" w14:textId="2610EB38" w:rsidR="00055CAD" w:rsidRPr="006F2199" w:rsidRDefault="00055CAD" w:rsidP="00055CAD">
      <w:pPr>
        <w:spacing w:after="20" w:line="240" w:lineRule="auto"/>
        <w:jc w:val="both"/>
        <w:rPr>
          <w:rStyle w:val="hps"/>
          <w:rFonts w:cs="Times New Roman"/>
          <w:szCs w:val="24"/>
          <w:lang w:val="en-US"/>
        </w:rPr>
      </w:pPr>
    </w:p>
    <w:p w14:paraId="2A6E70CF" w14:textId="615AB5D5" w:rsidR="00670DAB" w:rsidRDefault="00411CC6" w:rsidP="00055CAD">
      <w:pPr>
        <w:spacing w:after="20" w:line="240" w:lineRule="auto"/>
        <w:jc w:val="both"/>
        <w:rPr>
          <w:rFonts w:cs="Times New Roman"/>
          <w:sz w:val="20"/>
          <w:szCs w:val="20"/>
          <w:lang w:val="en-US"/>
        </w:rPr>
      </w:pPr>
      <w:r>
        <w:rPr>
          <w:rFonts w:cs="Times New Roman"/>
          <w:b/>
          <w:bCs/>
          <w:szCs w:val="24"/>
          <w:lang w:val="en-US"/>
        </w:rPr>
        <w:t>KEYWORDS</w:t>
      </w:r>
      <w:r w:rsidR="00ED7AD7" w:rsidRPr="006F2199">
        <w:rPr>
          <w:rFonts w:cs="Times New Roman"/>
          <w:b/>
          <w:bCs/>
          <w:szCs w:val="24"/>
          <w:lang w:val="en-US"/>
        </w:rPr>
        <w:t>:</w:t>
      </w:r>
      <w:r w:rsidR="00DE346C" w:rsidRPr="006F2199">
        <w:rPr>
          <w:rFonts w:cs="Times New Roman"/>
          <w:b/>
          <w:bCs/>
          <w:szCs w:val="24"/>
          <w:lang w:val="en-US"/>
        </w:rPr>
        <w:t xml:space="preserve"> </w:t>
      </w:r>
      <w:r w:rsidR="004846C1">
        <w:rPr>
          <w:rStyle w:val="hps"/>
          <w:rFonts w:cs="Times New Roman"/>
          <w:sz w:val="20"/>
          <w:szCs w:val="20"/>
          <w:lang w:val="en-US"/>
        </w:rPr>
        <w:t>HepaRG</w:t>
      </w:r>
      <w:r w:rsidR="00294F8F" w:rsidRPr="00294F8F">
        <w:rPr>
          <w:rFonts w:cs="Times New Roman"/>
          <w:sz w:val="20"/>
          <w:szCs w:val="20"/>
          <w:lang w:val="en-US"/>
        </w:rPr>
        <w:t xml:space="preserve">, untargeted metabolomics, </w:t>
      </w:r>
      <w:r w:rsidR="004846C1">
        <w:rPr>
          <w:rFonts w:cs="Times New Roman"/>
          <w:sz w:val="20"/>
          <w:szCs w:val="20"/>
          <w:lang w:val="en-US"/>
        </w:rPr>
        <w:t xml:space="preserve">multi-omics analysis, </w:t>
      </w:r>
      <w:r w:rsidR="004846C1" w:rsidRPr="004846C1">
        <w:rPr>
          <w:rFonts w:cs="Times New Roman"/>
          <w:sz w:val="20"/>
          <w:szCs w:val="20"/>
          <w:lang w:val="en-US"/>
        </w:rPr>
        <w:t>Endocrine-Disrupting Chemicals</w:t>
      </w:r>
      <w:r w:rsidR="004846C1">
        <w:rPr>
          <w:rFonts w:cs="Times New Roman"/>
          <w:sz w:val="20"/>
          <w:szCs w:val="20"/>
          <w:lang w:val="en-US"/>
        </w:rPr>
        <w:t>, metabolic disorders</w:t>
      </w:r>
    </w:p>
    <w:p w14:paraId="3AB6B11D" w14:textId="0DB57A48" w:rsidR="0045567B" w:rsidRDefault="0045567B" w:rsidP="00055CAD">
      <w:pPr>
        <w:spacing w:after="20" w:line="240" w:lineRule="auto"/>
        <w:jc w:val="both"/>
        <w:rPr>
          <w:rFonts w:cs="Times New Roman"/>
          <w:sz w:val="20"/>
          <w:szCs w:val="20"/>
          <w:lang w:val="en-US"/>
        </w:rPr>
      </w:pPr>
    </w:p>
    <w:p w14:paraId="5D8770D8" w14:textId="77777777" w:rsidR="0045567B" w:rsidRPr="00650F36" w:rsidRDefault="0045567B" w:rsidP="0045567B">
      <w:pPr>
        <w:spacing w:after="20" w:line="240" w:lineRule="auto"/>
        <w:jc w:val="both"/>
        <w:rPr>
          <w:rFonts w:cs="Times New Roman"/>
          <w:b/>
          <w:bCs/>
          <w:szCs w:val="24"/>
          <w:lang w:val="en-US"/>
        </w:rPr>
      </w:pPr>
      <w:r>
        <w:rPr>
          <w:rFonts w:cs="Times New Roman"/>
          <w:b/>
          <w:bCs/>
          <w:szCs w:val="24"/>
          <w:lang w:val="en-US"/>
        </w:rPr>
        <w:lastRenderedPageBreak/>
        <w:t>REFERENCES</w:t>
      </w:r>
    </w:p>
    <w:p w14:paraId="0620E058" w14:textId="77777777" w:rsidR="0045567B" w:rsidRPr="006F2199" w:rsidRDefault="0045567B" w:rsidP="00055CAD">
      <w:pPr>
        <w:spacing w:after="20" w:line="240" w:lineRule="auto"/>
        <w:jc w:val="both"/>
        <w:rPr>
          <w:rFonts w:cs="Times New Roman"/>
          <w:b/>
          <w:bCs/>
          <w:sz w:val="20"/>
          <w:szCs w:val="20"/>
          <w:lang w:val="en-US"/>
        </w:rPr>
      </w:pPr>
    </w:p>
    <w:p w14:paraId="673BDAB7" w14:textId="1CD482C7" w:rsidR="00294F8F" w:rsidRPr="0045567B" w:rsidRDefault="0045567B" w:rsidP="00055CAD">
      <w:pPr>
        <w:spacing w:after="20" w:line="240" w:lineRule="auto"/>
        <w:jc w:val="both"/>
        <w:rPr>
          <w:rFonts w:cs="Times New Roman"/>
          <w:sz w:val="20"/>
          <w:szCs w:val="20"/>
          <w:lang w:val="el-GR"/>
        </w:rPr>
      </w:pPr>
      <w:r>
        <w:rPr>
          <w:rFonts w:cs="Times New Roman"/>
          <w:sz w:val="20"/>
          <w:szCs w:val="20"/>
          <w:lang w:val="en-US"/>
        </w:rPr>
        <w:t xml:space="preserve">[1] </w:t>
      </w:r>
      <w:r w:rsidRPr="006F2199">
        <w:rPr>
          <w:rFonts w:cs="Times New Roman"/>
          <w:sz w:val="20"/>
          <w:szCs w:val="20"/>
          <w:lang w:val="en-US"/>
        </w:rPr>
        <w:t xml:space="preserve">CAVILL, R., KAMBUROV, A., ELLIS, J. K., ATHERSUCH, T. J., BLAGROVE, M. S. C., HERWIG, R., EBBELS, T. M. D. &amp; KEUN, H. C. 2011. Consensus-Phenotype Integration of Transcriptomic and Metabolomic Data Implies a Role for Metabolism in the Chemosensitivity of </w:t>
      </w:r>
      <w:proofErr w:type="spellStart"/>
      <w:r w:rsidRPr="006F2199">
        <w:rPr>
          <w:rFonts w:cs="Times New Roman"/>
          <w:sz w:val="20"/>
          <w:szCs w:val="20"/>
          <w:lang w:val="en-US"/>
        </w:rPr>
        <w:t>Tumour</w:t>
      </w:r>
      <w:proofErr w:type="spellEnd"/>
      <w:r w:rsidRPr="006F2199">
        <w:rPr>
          <w:rFonts w:cs="Times New Roman"/>
          <w:sz w:val="20"/>
          <w:szCs w:val="20"/>
          <w:lang w:val="en-US"/>
        </w:rPr>
        <w:t xml:space="preserve"> Cells. </w:t>
      </w:r>
      <w:r w:rsidRPr="0045567B">
        <w:rPr>
          <w:rFonts w:cs="Times New Roman"/>
          <w:sz w:val="20"/>
          <w:szCs w:val="20"/>
          <w:lang w:val="el-GR"/>
        </w:rPr>
        <w:t xml:space="preserve">PLOS </w:t>
      </w:r>
      <w:proofErr w:type="spellStart"/>
      <w:r w:rsidRPr="0045567B">
        <w:rPr>
          <w:rFonts w:cs="Times New Roman"/>
          <w:sz w:val="20"/>
          <w:szCs w:val="20"/>
          <w:lang w:val="el-GR"/>
        </w:rPr>
        <w:t>Computational</w:t>
      </w:r>
      <w:proofErr w:type="spellEnd"/>
      <w:r w:rsidRPr="0045567B">
        <w:rPr>
          <w:rFonts w:cs="Times New Roman"/>
          <w:sz w:val="20"/>
          <w:szCs w:val="20"/>
          <w:lang w:val="el-GR"/>
        </w:rPr>
        <w:t xml:space="preserve"> </w:t>
      </w:r>
      <w:proofErr w:type="spellStart"/>
      <w:r w:rsidRPr="0045567B">
        <w:rPr>
          <w:rFonts w:cs="Times New Roman"/>
          <w:sz w:val="20"/>
          <w:szCs w:val="20"/>
          <w:lang w:val="el-GR"/>
        </w:rPr>
        <w:t>Biology</w:t>
      </w:r>
      <w:proofErr w:type="spellEnd"/>
      <w:r w:rsidRPr="0045567B">
        <w:rPr>
          <w:rFonts w:cs="Times New Roman"/>
          <w:sz w:val="20"/>
          <w:szCs w:val="20"/>
          <w:lang w:val="el-GR"/>
        </w:rPr>
        <w:t>, 7, e1001113.</w:t>
      </w:r>
    </w:p>
    <w:sectPr w:rsidR="00294F8F" w:rsidRPr="0045567B"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29B6" w14:textId="77777777" w:rsidR="00ED6479" w:rsidRDefault="00ED6479" w:rsidP="00B10FCD">
      <w:pPr>
        <w:spacing w:after="0" w:line="240" w:lineRule="auto"/>
      </w:pPr>
      <w:r>
        <w:separator/>
      </w:r>
    </w:p>
  </w:endnote>
  <w:endnote w:type="continuationSeparator" w:id="0">
    <w:p w14:paraId="482ABD65" w14:textId="77777777" w:rsidR="00ED6479" w:rsidRDefault="00ED647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6DCA" w14:textId="77777777" w:rsidR="00ED6479" w:rsidRDefault="00ED6479" w:rsidP="00B10FCD">
      <w:pPr>
        <w:spacing w:after="0" w:line="240" w:lineRule="auto"/>
      </w:pPr>
      <w:r>
        <w:separator/>
      </w:r>
    </w:p>
  </w:footnote>
  <w:footnote w:type="continuationSeparator" w:id="0">
    <w:p w14:paraId="66B041E2" w14:textId="77777777" w:rsidR="00ED6479" w:rsidRDefault="00ED6479"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2F9"/>
    <w:multiLevelType w:val="hybridMultilevel"/>
    <w:tmpl w:val="6EBCB8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QUADd252iwAAAA="/>
  </w:docVars>
  <w:rsids>
    <w:rsidRoot w:val="002937B1"/>
    <w:rsid w:val="00010F28"/>
    <w:rsid w:val="00055CAD"/>
    <w:rsid w:val="000E7582"/>
    <w:rsid w:val="00100E5B"/>
    <w:rsid w:val="001327BE"/>
    <w:rsid w:val="00134726"/>
    <w:rsid w:val="00137B0D"/>
    <w:rsid w:val="00257888"/>
    <w:rsid w:val="002607CE"/>
    <w:rsid w:val="0027478C"/>
    <w:rsid w:val="002937B1"/>
    <w:rsid w:val="002938E7"/>
    <w:rsid w:val="00294F8F"/>
    <w:rsid w:val="002B13CB"/>
    <w:rsid w:val="003B6233"/>
    <w:rsid w:val="003F4BCB"/>
    <w:rsid w:val="00406EAA"/>
    <w:rsid w:val="00411CC6"/>
    <w:rsid w:val="0045567B"/>
    <w:rsid w:val="004846C1"/>
    <w:rsid w:val="004942C2"/>
    <w:rsid w:val="004F7B38"/>
    <w:rsid w:val="005A4565"/>
    <w:rsid w:val="00650F36"/>
    <w:rsid w:val="00670DAB"/>
    <w:rsid w:val="006F2199"/>
    <w:rsid w:val="00705DF0"/>
    <w:rsid w:val="00840E4C"/>
    <w:rsid w:val="008603F5"/>
    <w:rsid w:val="008935FA"/>
    <w:rsid w:val="00904D34"/>
    <w:rsid w:val="00915963"/>
    <w:rsid w:val="0091656E"/>
    <w:rsid w:val="00927F82"/>
    <w:rsid w:val="00935497"/>
    <w:rsid w:val="00937284"/>
    <w:rsid w:val="009803F2"/>
    <w:rsid w:val="00997EF7"/>
    <w:rsid w:val="009A480C"/>
    <w:rsid w:val="009C653D"/>
    <w:rsid w:val="00A84D47"/>
    <w:rsid w:val="00AA4FE7"/>
    <w:rsid w:val="00AB16ED"/>
    <w:rsid w:val="00AC44BD"/>
    <w:rsid w:val="00AD393E"/>
    <w:rsid w:val="00AF459A"/>
    <w:rsid w:val="00B10FCD"/>
    <w:rsid w:val="00B36AC7"/>
    <w:rsid w:val="00C04EBD"/>
    <w:rsid w:val="00C07544"/>
    <w:rsid w:val="00C55D63"/>
    <w:rsid w:val="00C84852"/>
    <w:rsid w:val="00CF4EEC"/>
    <w:rsid w:val="00D53195"/>
    <w:rsid w:val="00D678BE"/>
    <w:rsid w:val="00DA5472"/>
    <w:rsid w:val="00DE346C"/>
    <w:rsid w:val="00E63CAC"/>
    <w:rsid w:val="00E853C3"/>
    <w:rsid w:val="00E87E35"/>
    <w:rsid w:val="00ED6479"/>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494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3130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Nausica Papaioannou</cp:lastModifiedBy>
  <cp:revision>2</cp:revision>
  <cp:lastPrinted>2016-12-14T08:08:00Z</cp:lastPrinted>
  <dcterms:created xsi:type="dcterms:W3CDTF">2022-02-13T13:04:00Z</dcterms:created>
  <dcterms:modified xsi:type="dcterms:W3CDTF">2022-02-13T13:04:00Z</dcterms:modified>
</cp:coreProperties>
</file>