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5928" w14:textId="77777777" w:rsidR="00C04EBD" w:rsidRPr="00F86A0C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7186BB36" w14:textId="31185E79" w:rsidR="002937B1" w:rsidRPr="003A60BA" w:rsidRDefault="00CD2B00" w:rsidP="003A60BA">
      <w:pPr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bookmarkStart w:id="0" w:name="_Hlk92530016"/>
      <w:r w:rsidRPr="00CD2B00">
        <w:rPr>
          <w:rStyle w:val="hps"/>
          <w:rFonts w:cs="Times New Roman"/>
          <w:b/>
          <w:szCs w:val="24"/>
          <w:lang w:val="en-US"/>
        </w:rPr>
        <w:t>Catalytic performance of TiO</w:t>
      </w:r>
      <w:r w:rsidRPr="000A1E52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Pr="00CD2B00">
        <w:rPr>
          <w:rStyle w:val="hps"/>
          <w:rFonts w:cs="Times New Roman"/>
          <w:b/>
          <w:szCs w:val="24"/>
          <w:lang w:val="en-US"/>
        </w:rPr>
        <w:t xml:space="preserve"> and </w:t>
      </w:r>
      <w:proofErr w:type="spellStart"/>
      <w:r w:rsidRPr="00CD2B00">
        <w:rPr>
          <w:rStyle w:val="hps"/>
          <w:rFonts w:cs="Times New Roman"/>
          <w:b/>
          <w:szCs w:val="24"/>
          <w:lang w:val="en-US"/>
        </w:rPr>
        <w:t>ZnO</w:t>
      </w:r>
      <w:proofErr w:type="spellEnd"/>
      <w:r w:rsidRPr="00CD2B00">
        <w:rPr>
          <w:rStyle w:val="hps"/>
          <w:rFonts w:cs="Times New Roman"/>
          <w:b/>
          <w:szCs w:val="24"/>
          <w:lang w:val="en-US"/>
        </w:rPr>
        <w:t xml:space="preserve"> on </w:t>
      </w:r>
      <w:r w:rsidR="0020679B">
        <w:rPr>
          <w:rStyle w:val="hps"/>
          <w:rFonts w:cs="Times New Roman"/>
          <w:b/>
          <w:szCs w:val="24"/>
          <w:lang w:val="en-US"/>
        </w:rPr>
        <w:t xml:space="preserve">a </w:t>
      </w:r>
      <w:proofErr w:type="spellStart"/>
      <w:r w:rsidRPr="00CD2B00">
        <w:rPr>
          <w:rStyle w:val="hps"/>
          <w:rFonts w:cs="Times New Roman"/>
          <w:b/>
          <w:szCs w:val="24"/>
          <w:lang w:val="en-US"/>
        </w:rPr>
        <w:t>nsp</w:t>
      </w:r>
      <w:proofErr w:type="spellEnd"/>
      <w:r w:rsidRPr="00CD2B00">
        <w:rPr>
          <w:rStyle w:val="hps"/>
          <w:rFonts w:cs="Times New Roman"/>
          <w:b/>
          <w:szCs w:val="24"/>
          <w:lang w:val="en-US"/>
        </w:rPr>
        <w:t xml:space="preserve">-DBD system </w:t>
      </w:r>
      <w:r w:rsidR="0020679B">
        <w:rPr>
          <w:rStyle w:val="hps"/>
          <w:rFonts w:cs="Times New Roman"/>
          <w:b/>
          <w:szCs w:val="24"/>
          <w:lang w:val="en-US"/>
        </w:rPr>
        <w:t>for the</w:t>
      </w:r>
      <w:r w:rsidRPr="00CD2B00">
        <w:rPr>
          <w:rStyle w:val="hps"/>
          <w:rFonts w:cs="Times New Roman"/>
          <w:b/>
          <w:szCs w:val="24"/>
          <w:lang w:val="en-US"/>
        </w:rPr>
        <w:t xml:space="preserve"> degradation of trifluralin in sandy soil</w:t>
      </w:r>
      <w:r w:rsidR="00AB7067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107FD74B" w14:textId="6EF2B866" w:rsidR="0041005D" w:rsidRPr="000A1E52" w:rsidRDefault="00CD2B00" w:rsidP="0041005D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vertAlign w:val="superscript"/>
          <w:lang w:val="en-US"/>
        </w:rPr>
      </w:pPr>
      <w:bookmarkStart w:id="1" w:name="_Hlk92530103"/>
      <w:bookmarkEnd w:id="0"/>
      <w:r w:rsidRPr="00CD2B00">
        <w:rPr>
          <w:rFonts w:eastAsia="Times New Roman" w:cstheme="minorHAnsi"/>
          <w:b/>
          <w:iCs/>
          <w:szCs w:val="24"/>
          <w:u w:val="single"/>
        </w:rPr>
        <w:t>M. Hatzisymeon</w:t>
      </w:r>
      <w:r>
        <w:rPr>
          <w:rFonts w:eastAsia="Times New Roman" w:cstheme="minorHAnsi"/>
          <w:b/>
          <w:iCs/>
          <w:szCs w:val="24"/>
          <w:vertAlign w:val="superscript"/>
        </w:rPr>
        <w:t>1,2</w:t>
      </w:r>
      <w:r w:rsidRPr="000A1E52">
        <w:rPr>
          <w:rFonts w:eastAsia="Times New Roman" w:cstheme="minorHAnsi"/>
          <w:b/>
          <w:iCs/>
          <w:szCs w:val="24"/>
        </w:rPr>
        <w:t>, D. Tataraki</w:t>
      </w:r>
      <w:r w:rsidRPr="000A1E52">
        <w:rPr>
          <w:rFonts w:eastAsia="Times New Roman" w:cstheme="minorHAnsi"/>
          <w:b/>
          <w:iCs/>
          <w:szCs w:val="24"/>
          <w:vertAlign w:val="superscript"/>
        </w:rPr>
        <w:t>1</w:t>
      </w:r>
      <w:r w:rsidRPr="000A1E52">
        <w:rPr>
          <w:rFonts w:eastAsia="Times New Roman" w:cstheme="minorHAnsi"/>
          <w:b/>
          <w:iCs/>
          <w:szCs w:val="24"/>
        </w:rPr>
        <w:t>,</w:t>
      </w:r>
      <w:r w:rsidR="000A1E52" w:rsidRPr="000A1E52">
        <w:rPr>
          <w:rFonts w:cs="Calibri"/>
          <w:b/>
          <w:iCs/>
          <w:lang w:val="en-US"/>
        </w:rPr>
        <w:t xml:space="preserve"> M. Daletou</w:t>
      </w:r>
      <w:r w:rsidR="000A1E52" w:rsidRPr="000A1E52">
        <w:rPr>
          <w:rFonts w:cs="Calibri"/>
          <w:b/>
          <w:iCs/>
          <w:vertAlign w:val="superscript"/>
        </w:rPr>
        <w:t>1</w:t>
      </w:r>
      <w:r w:rsidR="000A1E52" w:rsidRPr="000A1E52">
        <w:rPr>
          <w:rFonts w:eastAsia="Times New Roman" w:cstheme="minorHAnsi"/>
          <w:b/>
          <w:iCs/>
          <w:szCs w:val="24"/>
        </w:rPr>
        <w:t xml:space="preserve">, </w:t>
      </w:r>
      <w:r w:rsidRPr="000A1E52">
        <w:rPr>
          <w:rFonts w:eastAsia="Times New Roman" w:cstheme="minorHAnsi"/>
          <w:b/>
          <w:iCs/>
          <w:szCs w:val="24"/>
        </w:rPr>
        <w:t>G. Rassias</w:t>
      </w:r>
      <w:r w:rsidRPr="000A1E52">
        <w:rPr>
          <w:rFonts w:eastAsia="Times New Roman" w:cstheme="minorHAnsi"/>
          <w:b/>
          <w:iCs/>
          <w:szCs w:val="24"/>
          <w:vertAlign w:val="superscript"/>
        </w:rPr>
        <w:t>2</w:t>
      </w:r>
      <w:r w:rsidRPr="000A1E52">
        <w:rPr>
          <w:rFonts w:eastAsia="Times New Roman" w:cstheme="minorHAnsi"/>
          <w:b/>
          <w:iCs/>
          <w:szCs w:val="24"/>
        </w:rPr>
        <w:t xml:space="preserve"> </w:t>
      </w:r>
      <w:r w:rsidR="00AB7067" w:rsidRPr="000A1E52">
        <w:rPr>
          <w:rFonts w:eastAsia="Times New Roman" w:cstheme="minorHAnsi"/>
          <w:b/>
          <w:iCs/>
          <w:szCs w:val="24"/>
        </w:rPr>
        <w:t>and C.A. Aggelopoulos</w:t>
      </w:r>
      <w:r w:rsidR="00AB7067" w:rsidRPr="000A1E52">
        <w:rPr>
          <w:rFonts w:eastAsia="Times New Roman" w:cstheme="minorHAnsi"/>
          <w:b/>
          <w:iCs/>
          <w:szCs w:val="24"/>
          <w:vertAlign w:val="superscript"/>
        </w:rPr>
        <w:t>1</w:t>
      </w:r>
      <w:r w:rsidR="00AB7067" w:rsidRPr="000A1E52">
        <w:rPr>
          <w:rFonts w:eastAsia="Times New Roman" w:cstheme="minorHAnsi"/>
          <w:b/>
          <w:iCs/>
          <w:szCs w:val="24"/>
        </w:rPr>
        <w:t xml:space="preserve">* </w:t>
      </w:r>
    </w:p>
    <w:p w14:paraId="19BD21D6" w14:textId="77777777" w:rsidR="008A7E68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</w:rPr>
      </w:pPr>
      <w:r w:rsidRPr="00E17A1D">
        <w:rPr>
          <w:rFonts w:eastAsia="Times New Roman" w:cstheme="minorHAnsi"/>
          <w:i/>
          <w:iCs/>
          <w:szCs w:val="24"/>
          <w:vertAlign w:val="superscript"/>
        </w:rPr>
        <w:t>1.</w:t>
      </w:r>
      <w:r w:rsidRPr="00E17A1D">
        <w:rPr>
          <w:rFonts w:eastAsia="Times New Roman" w:cstheme="minorHAnsi"/>
          <w:i/>
          <w:szCs w:val="24"/>
        </w:rPr>
        <w:t xml:space="preserve"> Foundation for Research and Technology /</w:t>
      </w:r>
      <w:r w:rsidRPr="00E17A1D">
        <w:rPr>
          <w:i/>
          <w:color w:val="303030"/>
          <w:szCs w:val="24"/>
        </w:rPr>
        <w:t xml:space="preserve"> Institute of Chemical Engineering Sciences           </w:t>
      </w:r>
      <w:r w:rsidRPr="00E17A1D">
        <w:rPr>
          <w:rFonts w:eastAsia="Times New Roman" w:cstheme="minorHAnsi"/>
          <w:i/>
          <w:szCs w:val="24"/>
        </w:rPr>
        <w:t xml:space="preserve"> FORTH/ICE-HT, GR-26504, Patras, Greece</w:t>
      </w:r>
      <w:r w:rsidRPr="00E17A1D" w:rsidDel="008A513C">
        <w:rPr>
          <w:rFonts w:eastAsia="Times New Roman" w:cstheme="minorHAnsi"/>
          <w:i/>
          <w:szCs w:val="24"/>
        </w:rPr>
        <w:t xml:space="preserve"> </w:t>
      </w:r>
    </w:p>
    <w:p w14:paraId="6A5D7C9A" w14:textId="77777777" w:rsidR="00AB7067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</w:rPr>
      </w:pPr>
      <w:r>
        <w:rPr>
          <w:rFonts w:eastAsia="Times New Roman" w:cstheme="minorHAnsi"/>
          <w:i/>
          <w:szCs w:val="24"/>
          <w:vertAlign w:val="superscript"/>
        </w:rPr>
        <w:t>2</w:t>
      </w:r>
      <w:r w:rsidRPr="00E17A1D">
        <w:rPr>
          <w:rFonts w:eastAsia="Times New Roman" w:cstheme="minorHAnsi"/>
          <w:i/>
          <w:szCs w:val="24"/>
          <w:vertAlign w:val="superscript"/>
        </w:rPr>
        <w:t>.</w:t>
      </w:r>
      <w:r w:rsidRPr="00E17A1D">
        <w:rPr>
          <w:rFonts w:eastAsia="Times New Roman" w:cstheme="minorHAnsi"/>
          <w:i/>
          <w:szCs w:val="24"/>
        </w:rPr>
        <w:t xml:space="preserve"> Department of </w:t>
      </w:r>
      <w:r w:rsidR="00AB7067">
        <w:rPr>
          <w:rFonts w:eastAsia="Times New Roman" w:cstheme="minorHAnsi"/>
          <w:i/>
          <w:szCs w:val="24"/>
        </w:rPr>
        <w:t>Chemistry</w:t>
      </w:r>
      <w:r w:rsidRPr="00E17A1D">
        <w:rPr>
          <w:rFonts w:eastAsia="Times New Roman" w:cstheme="minorHAnsi"/>
          <w:i/>
          <w:szCs w:val="24"/>
        </w:rPr>
        <w:t>, University of Patras, GR-26504, Patras, Greece</w:t>
      </w:r>
    </w:p>
    <w:p w14:paraId="5C972B3D" w14:textId="6A1A7D43" w:rsidR="00257888" w:rsidRPr="003B4C83" w:rsidRDefault="008A7E68" w:rsidP="003B4C83">
      <w:pPr>
        <w:jc w:val="center"/>
        <w:rPr>
          <w:rStyle w:val="hps"/>
          <w:i/>
          <w:sz w:val="22"/>
          <w:u w:val="single"/>
        </w:rPr>
      </w:pPr>
      <w:r w:rsidRPr="00AB7067">
        <w:rPr>
          <w:i/>
          <w:sz w:val="22"/>
          <w:lang w:val="en-US"/>
        </w:rPr>
        <w:t>*</w:t>
      </w:r>
      <w:r w:rsidR="0041005D" w:rsidRPr="0041005D">
        <w:rPr>
          <w:i/>
          <w:sz w:val="22"/>
          <w:u w:val="single"/>
        </w:rPr>
        <w:t>Email</w:t>
      </w:r>
      <w:r w:rsidR="0041005D" w:rsidRPr="00AB7067">
        <w:rPr>
          <w:i/>
          <w:sz w:val="22"/>
          <w:u w:val="single"/>
          <w:lang w:val="en-US"/>
        </w:rPr>
        <w:t xml:space="preserve">: </w:t>
      </w:r>
      <w:hyperlink r:id="rId8" w:history="1">
        <w:r w:rsidR="00AB7067" w:rsidRPr="0025250D">
          <w:rPr>
            <w:rStyle w:val="Hyperlink"/>
            <w:i/>
            <w:sz w:val="22"/>
          </w:rPr>
          <w:t>caggelop</w:t>
        </w:r>
        <w:r w:rsidR="00AB7067" w:rsidRPr="00AB7067">
          <w:rPr>
            <w:rStyle w:val="Hyperlink"/>
            <w:i/>
            <w:sz w:val="22"/>
            <w:lang w:val="en-US"/>
          </w:rPr>
          <w:t>@</w:t>
        </w:r>
        <w:r w:rsidR="00AB7067" w:rsidRPr="0025250D">
          <w:rPr>
            <w:rStyle w:val="Hyperlink"/>
            <w:i/>
            <w:sz w:val="22"/>
          </w:rPr>
          <w:t>iceht</w:t>
        </w:r>
        <w:r w:rsidR="00AB7067" w:rsidRPr="00AB7067">
          <w:rPr>
            <w:rStyle w:val="Hyperlink"/>
            <w:i/>
            <w:sz w:val="22"/>
            <w:lang w:val="en-US"/>
          </w:rPr>
          <w:t>.</w:t>
        </w:r>
        <w:r w:rsidR="00AB7067" w:rsidRPr="0025250D">
          <w:rPr>
            <w:rStyle w:val="Hyperlink"/>
            <w:i/>
            <w:sz w:val="22"/>
          </w:rPr>
          <w:t>forth</w:t>
        </w:r>
        <w:r w:rsidR="00AB7067" w:rsidRPr="00AB7067">
          <w:rPr>
            <w:rStyle w:val="Hyperlink"/>
            <w:i/>
            <w:sz w:val="22"/>
            <w:lang w:val="en-US"/>
          </w:rPr>
          <w:t>.</w:t>
        </w:r>
        <w:r w:rsidR="00AB7067" w:rsidRPr="0025250D">
          <w:rPr>
            <w:rStyle w:val="Hyperlink"/>
            <w:i/>
            <w:sz w:val="22"/>
          </w:rPr>
          <w:t>gr</w:t>
        </w:r>
      </w:hyperlink>
    </w:p>
    <w:bookmarkEnd w:id="1"/>
    <w:p w14:paraId="22E3C734" w14:textId="06CA380C" w:rsidR="00C8029A" w:rsidRPr="00AB7067" w:rsidRDefault="00AB7067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Pr="00AB7067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43077F17" w14:textId="78D43882" w:rsidR="00CD2B00" w:rsidRPr="006E6279" w:rsidRDefault="00F8074C" w:rsidP="00CD2B00">
      <w:pPr>
        <w:autoSpaceDE w:val="0"/>
        <w:autoSpaceDN w:val="0"/>
        <w:adjustRightInd w:val="0"/>
        <w:jc w:val="both"/>
        <w:rPr>
          <w:sz w:val="22"/>
          <w:lang w:val="en-US" w:eastAsia="el-GR"/>
        </w:rPr>
      </w:pPr>
      <w:r>
        <w:rPr>
          <w:sz w:val="22"/>
          <w:lang w:val="en-US" w:eastAsia="el-GR"/>
        </w:rPr>
        <w:t>T</w:t>
      </w:r>
      <w:r w:rsidR="00CD2B00" w:rsidRPr="00CD2B00">
        <w:rPr>
          <w:sz w:val="22"/>
          <w:lang w:val="en-US" w:eastAsia="el-GR"/>
        </w:rPr>
        <w:t>he increasing accumulation of pesticide residues (ppt – ppm range) in the terrestrial a</w:t>
      </w:r>
      <w:r w:rsidR="00CD2B00">
        <w:rPr>
          <w:sz w:val="22"/>
          <w:lang w:val="en-US" w:eastAsia="el-GR"/>
        </w:rPr>
        <w:t xml:space="preserve">nd aquatic environment and their </w:t>
      </w:r>
      <w:r w:rsidR="00CD2B00" w:rsidRPr="00CD2B00">
        <w:rPr>
          <w:sz w:val="22"/>
          <w:lang w:val="en-US" w:eastAsia="el-GR"/>
        </w:rPr>
        <w:t>negative impacts</w:t>
      </w:r>
      <w:r w:rsidR="00CD2B00">
        <w:rPr>
          <w:sz w:val="22"/>
          <w:lang w:val="en-US" w:eastAsia="el-GR"/>
        </w:rPr>
        <w:t xml:space="preserve"> (</w:t>
      </w:r>
      <w:r w:rsidR="00CD2B00" w:rsidRPr="00CD2B00">
        <w:rPr>
          <w:sz w:val="22"/>
          <w:lang w:val="en-US" w:eastAsia="el-GR"/>
        </w:rPr>
        <w:t>genotoxic properties</w:t>
      </w:r>
      <w:r w:rsidR="00CD2B00">
        <w:rPr>
          <w:sz w:val="22"/>
          <w:lang w:val="en-US" w:eastAsia="el-GR"/>
        </w:rPr>
        <w:t xml:space="preserve">) resulted in the </w:t>
      </w:r>
      <w:proofErr w:type="spellStart"/>
      <w:r w:rsidR="00CD2B00">
        <w:rPr>
          <w:sz w:val="22"/>
          <w:lang w:val="en-US" w:eastAsia="el-GR"/>
        </w:rPr>
        <w:t>nessecity</w:t>
      </w:r>
      <w:proofErr w:type="spellEnd"/>
      <w:r w:rsidR="00CD2B00">
        <w:rPr>
          <w:sz w:val="22"/>
          <w:lang w:val="en-US" w:eastAsia="el-GR"/>
        </w:rPr>
        <w:t xml:space="preserve"> for developing cost-effective methods for their removal from water and soil</w:t>
      </w:r>
      <w:r w:rsidR="00CD2B00" w:rsidRPr="00CD2B00">
        <w:rPr>
          <w:sz w:val="22"/>
          <w:lang w:val="en-US" w:eastAsia="el-GR"/>
        </w:rPr>
        <w:t xml:space="preserve">. </w:t>
      </w:r>
      <w:r w:rsidR="00CD2B00">
        <w:rPr>
          <w:sz w:val="22"/>
          <w:lang w:val="en-US" w:eastAsia="el-GR"/>
        </w:rPr>
        <w:t>C</w:t>
      </w:r>
      <w:r w:rsidR="00CD2B00" w:rsidRPr="00CD2B00">
        <w:rPr>
          <w:sz w:val="22"/>
          <w:lang w:val="en-US" w:eastAsia="el-GR"/>
        </w:rPr>
        <w:t xml:space="preserve">old atmospheric plasma (CAP) </w:t>
      </w:r>
      <w:r w:rsidR="00CD2B00">
        <w:rPr>
          <w:sz w:val="22"/>
          <w:lang w:val="en-US" w:eastAsia="el-GR"/>
        </w:rPr>
        <w:t>is</w:t>
      </w:r>
      <w:r w:rsidR="00CD2B00" w:rsidRPr="00CD2B00">
        <w:rPr>
          <w:sz w:val="22"/>
          <w:lang w:val="en-US" w:eastAsia="el-GR"/>
        </w:rPr>
        <w:t xml:space="preserve"> an innovative, green and highly efficient method</w:t>
      </w:r>
      <w:r w:rsidR="00CD2B00">
        <w:rPr>
          <w:sz w:val="22"/>
          <w:lang w:val="en-US" w:eastAsia="el-GR"/>
        </w:rPr>
        <w:t xml:space="preserve"> well-known for its efficiency towards the </w:t>
      </w:r>
      <w:r w:rsidR="00CD2B00" w:rsidRPr="00CD2B00">
        <w:rPr>
          <w:sz w:val="22"/>
          <w:lang w:val="en-US" w:eastAsia="el-GR"/>
        </w:rPr>
        <w:t xml:space="preserve">removal of organic pollutants from </w:t>
      </w:r>
      <w:r w:rsidR="000E63A5">
        <w:rPr>
          <w:sz w:val="22"/>
          <w:lang w:val="en-US" w:eastAsia="el-GR"/>
        </w:rPr>
        <w:t>aquatic systems, while recent efforts also focus on the exploitation of CAP for soil remediation as well.</w:t>
      </w:r>
      <w:r w:rsidR="0070789C" w:rsidRPr="0070789C">
        <w:rPr>
          <w:sz w:val="22"/>
          <w:vertAlign w:val="superscript"/>
          <w:lang w:val="en-US" w:eastAsia="el-GR"/>
        </w:rPr>
        <w:t>1,2</w:t>
      </w:r>
      <w:r w:rsidR="00CD2B00" w:rsidRPr="00CD2B00">
        <w:rPr>
          <w:sz w:val="22"/>
          <w:lang w:val="en-US" w:eastAsia="el-GR"/>
        </w:rPr>
        <w:t xml:space="preserve"> </w:t>
      </w:r>
      <w:r w:rsidR="000E63A5">
        <w:rPr>
          <w:sz w:val="22"/>
          <w:lang w:val="en-US" w:eastAsia="el-GR"/>
        </w:rPr>
        <w:t>I</w:t>
      </w:r>
      <w:r w:rsidR="00CD2B00" w:rsidRPr="00CD2B00">
        <w:rPr>
          <w:sz w:val="22"/>
          <w:lang w:val="en-US" w:eastAsia="el-GR"/>
        </w:rPr>
        <w:t xml:space="preserve">ts predominance </w:t>
      </w:r>
      <w:r w:rsidR="000E63A5">
        <w:rPr>
          <w:sz w:val="22"/>
          <w:lang w:val="en-US" w:eastAsia="el-GR"/>
        </w:rPr>
        <w:t xml:space="preserve">is </w:t>
      </w:r>
      <w:r w:rsidR="00CD2B00" w:rsidRPr="00CD2B00">
        <w:rPr>
          <w:sz w:val="22"/>
          <w:lang w:val="en-US" w:eastAsia="el-GR"/>
        </w:rPr>
        <w:t>based on the high oxidation potential of the plasma-generated reactive oxy</w:t>
      </w:r>
      <w:r w:rsidR="000E63A5">
        <w:rPr>
          <w:sz w:val="22"/>
          <w:lang w:val="en-US" w:eastAsia="el-GR"/>
        </w:rPr>
        <w:t>gen and nitrogen species (RONS)</w:t>
      </w:r>
      <w:r w:rsidR="0070789C" w:rsidRPr="0070789C">
        <w:rPr>
          <w:sz w:val="22"/>
          <w:vertAlign w:val="superscript"/>
          <w:lang w:val="en-US" w:eastAsia="el-GR"/>
        </w:rPr>
        <w:t>3</w:t>
      </w:r>
      <w:r w:rsidR="000E63A5">
        <w:rPr>
          <w:sz w:val="22"/>
          <w:lang w:val="en-US" w:eastAsia="el-GR"/>
        </w:rPr>
        <w:t>.</w:t>
      </w:r>
      <w:r w:rsidR="00CD2B00" w:rsidRPr="00CD2B00">
        <w:rPr>
          <w:sz w:val="22"/>
          <w:lang w:val="en-US" w:eastAsia="el-GR"/>
        </w:rPr>
        <w:t xml:space="preserve"> </w:t>
      </w:r>
      <w:r w:rsidR="000E63A5" w:rsidRPr="000E63A5">
        <w:rPr>
          <w:sz w:val="22"/>
          <w:lang w:val="en-US" w:eastAsia="el-GR"/>
        </w:rPr>
        <w:t xml:space="preserve">In order to enhance </w:t>
      </w:r>
      <w:r w:rsidR="000E63A5">
        <w:rPr>
          <w:sz w:val="22"/>
          <w:lang w:val="en-US" w:eastAsia="el-GR"/>
        </w:rPr>
        <w:t xml:space="preserve">the </w:t>
      </w:r>
      <w:r w:rsidR="000E63A5" w:rsidRPr="000E63A5">
        <w:rPr>
          <w:sz w:val="22"/>
          <w:lang w:val="en-US" w:eastAsia="el-GR"/>
        </w:rPr>
        <w:t>energy efficiency</w:t>
      </w:r>
      <w:r w:rsidR="000E63A5">
        <w:rPr>
          <w:sz w:val="22"/>
          <w:lang w:val="en-US" w:eastAsia="el-GR"/>
        </w:rPr>
        <w:t xml:space="preserve"> of the process</w:t>
      </w:r>
      <w:r w:rsidR="000E63A5" w:rsidRPr="000E63A5">
        <w:rPr>
          <w:sz w:val="22"/>
          <w:lang w:val="en-US" w:eastAsia="el-GR"/>
        </w:rPr>
        <w:t>, the combination of plasma and catalysis for soil remediation could be</w:t>
      </w:r>
      <w:r w:rsidR="000E63A5">
        <w:rPr>
          <w:sz w:val="22"/>
          <w:lang w:val="en-US" w:eastAsia="el-GR"/>
        </w:rPr>
        <w:t xml:space="preserve"> consi</w:t>
      </w:r>
      <w:r>
        <w:rPr>
          <w:sz w:val="22"/>
          <w:lang w:val="en-US" w:eastAsia="el-GR"/>
        </w:rPr>
        <w:t>dered</w:t>
      </w:r>
      <w:r w:rsidR="000E63A5" w:rsidRPr="000E63A5">
        <w:rPr>
          <w:sz w:val="22"/>
          <w:lang w:val="en-US" w:eastAsia="el-GR"/>
        </w:rPr>
        <w:t xml:space="preserve"> an appealing approach</w:t>
      </w:r>
      <w:r w:rsidR="000E63A5">
        <w:rPr>
          <w:sz w:val="22"/>
          <w:lang w:val="en-US" w:eastAsia="el-GR"/>
        </w:rPr>
        <w:t>;</w:t>
      </w:r>
      <w:r w:rsidR="000E63A5" w:rsidRPr="000E63A5">
        <w:rPr>
          <w:sz w:val="22"/>
          <w:lang w:val="en-US" w:eastAsia="el-GR"/>
        </w:rPr>
        <w:t xml:space="preserve"> </w:t>
      </w:r>
      <w:proofErr w:type="spellStart"/>
      <w:r w:rsidR="000E63A5" w:rsidRPr="000E63A5">
        <w:rPr>
          <w:sz w:val="22"/>
          <w:lang w:val="en-US" w:eastAsia="el-GR"/>
        </w:rPr>
        <w:t>plasmacatalysis</w:t>
      </w:r>
      <w:proofErr w:type="spellEnd"/>
      <w:r w:rsidR="000E63A5" w:rsidRPr="000E63A5">
        <w:rPr>
          <w:sz w:val="22"/>
          <w:lang w:val="en-US" w:eastAsia="el-GR"/>
        </w:rPr>
        <w:t xml:space="preserve"> is an emerging field with very promising results in </w:t>
      </w:r>
      <w:r w:rsidR="000E63A5">
        <w:rPr>
          <w:sz w:val="22"/>
          <w:lang w:val="en-US" w:eastAsia="el-GR"/>
        </w:rPr>
        <w:t>wastewater treatment efforts.</w:t>
      </w:r>
      <w:r w:rsidR="00A223D0" w:rsidRPr="00A223D0">
        <w:rPr>
          <w:sz w:val="22"/>
          <w:vertAlign w:val="superscript"/>
          <w:lang w:val="en-US" w:eastAsia="el-GR"/>
        </w:rPr>
        <w:t>4</w:t>
      </w:r>
      <w:r w:rsidR="000E63A5">
        <w:rPr>
          <w:sz w:val="22"/>
          <w:lang w:val="en-US" w:eastAsia="el-GR"/>
        </w:rPr>
        <w:t xml:space="preserve"> </w:t>
      </w:r>
      <w:r w:rsidR="00CD2B00" w:rsidRPr="006E6279">
        <w:rPr>
          <w:sz w:val="22"/>
          <w:lang w:val="en-US" w:eastAsia="el-GR"/>
        </w:rPr>
        <w:t>Dielectric Barrier Discharge (DBD) plasma</w:t>
      </w:r>
      <w:r w:rsidR="00CD2B00" w:rsidRPr="006E0BFC">
        <w:rPr>
          <w:sz w:val="22"/>
          <w:lang w:val="en-US" w:eastAsia="el-GR"/>
        </w:rPr>
        <w:t xml:space="preserve"> combined with TiO</w:t>
      </w:r>
      <w:r w:rsidR="00CD2B00" w:rsidRPr="006E0BFC">
        <w:rPr>
          <w:sz w:val="22"/>
          <w:vertAlign w:val="subscript"/>
          <w:lang w:val="en-US" w:eastAsia="el-GR"/>
        </w:rPr>
        <w:t>2</w:t>
      </w:r>
      <w:r w:rsidR="00CD2B00" w:rsidRPr="006E0BFC">
        <w:rPr>
          <w:sz w:val="22"/>
          <w:lang w:val="en-US" w:eastAsia="el-GR"/>
        </w:rPr>
        <w:t xml:space="preserve"> and </w:t>
      </w:r>
      <w:proofErr w:type="spellStart"/>
      <w:r w:rsidR="00CD2B00" w:rsidRPr="006E0BFC">
        <w:rPr>
          <w:sz w:val="22"/>
          <w:lang w:val="en-US" w:eastAsia="el-GR"/>
        </w:rPr>
        <w:t>ZnO</w:t>
      </w:r>
      <w:proofErr w:type="spellEnd"/>
      <w:r w:rsidR="00CD2B00" w:rsidRPr="006E0BFC">
        <w:rPr>
          <w:sz w:val="22"/>
          <w:lang w:val="en-US" w:eastAsia="el-GR"/>
        </w:rPr>
        <w:t xml:space="preserve"> cataly</w:t>
      </w:r>
      <w:r>
        <w:rPr>
          <w:sz w:val="22"/>
          <w:lang w:val="en-US" w:eastAsia="el-GR"/>
        </w:rPr>
        <w:t>st</w:t>
      </w:r>
      <w:r w:rsidR="00CD2B00" w:rsidRPr="006E0BFC">
        <w:rPr>
          <w:sz w:val="22"/>
          <w:lang w:val="en-US" w:eastAsia="el-GR"/>
        </w:rPr>
        <w:t>s</w:t>
      </w:r>
      <w:r w:rsidR="00CD2B00" w:rsidRPr="006E6279">
        <w:rPr>
          <w:sz w:val="22"/>
          <w:lang w:val="en-US" w:eastAsia="el-GR"/>
        </w:rPr>
        <w:t xml:space="preserve"> was examined for the removal of </w:t>
      </w:r>
      <w:r w:rsidR="000E63A5">
        <w:rPr>
          <w:sz w:val="22"/>
          <w:lang w:val="en-US" w:eastAsia="el-GR"/>
        </w:rPr>
        <w:t xml:space="preserve">the </w:t>
      </w:r>
      <w:r w:rsidR="00CD2B00" w:rsidRPr="006E6279">
        <w:rPr>
          <w:sz w:val="22"/>
          <w:lang w:val="en-US" w:eastAsia="el-GR"/>
        </w:rPr>
        <w:t xml:space="preserve">herbicide trifluralin from soil. </w:t>
      </w:r>
      <w:r w:rsidR="00CD2B00">
        <w:rPr>
          <w:sz w:val="22"/>
          <w:lang w:val="en-US" w:eastAsia="el-GR"/>
        </w:rPr>
        <w:t>DBD reactor had</w:t>
      </w:r>
      <w:r w:rsidR="00CD2B00" w:rsidRPr="006E6279">
        <w:rPr>
          <w:sz w:val="22"/>
          <w:lang w:val="en-US" w:eastAsia="el-GR"/>
        </w:rPr>
        <w:t xml:space="preserve"> a cylinder-to-cylindrical grid l</w:t>
      </w:r>
      <w:r w:rsidR="00CD2B00">
        <w:rPr>
          <w:sz w:val="22"/>
          <w:lang w:val="en-US" w:eastAsia="el-GR"/>
        </w:rPr>
        <w:t>ayout, where plasma discharges we</w:t>
      </w:r>
      <w:r w:rsidR="00CD2B00" w:rsidRPr="006E6279">
        <w:rPr>
          <w:sz w:val="22"/>
          <w:lang w:val="en-US" w:eastAsia="el-GR"/>
        </w:rPr>
        <w:t>re produced inside the pores of the soil</w:t>
      </w:r>
      <w:r w:rsidR="000E63A5">
        <w:rPr>
          <w:sz w:val="22"/>
          <w:lang w:val="en-US" w:eastAsia="el-GR"/>
        </w:rPr>
        <w:t xml:space="preserve"> in order to achieve maximum penetration of the plasma species inside the contaminated medium</w:t>
      </w:r>
      <w:r w:rsidR="00CD2B00" w:rsidRPr="006E6279">
        <w:rPr>
          <w:sz w:val="22"/>
          <w:lang w:val="en-US" w:eastAsia="el-GR"/>
        </w:rPr>
        <w:t xml:space="preserve">. </w:t>
      </w:r>
      <w:r w:rsidR="000E63A5">
        <w:rPr>
          <w:sz w:val="22"/>
          <w:lang w:val="en-US" w:eastAsia="el-GR"/>
        </w:rPr>
        <w:t xml:space="preserve">To </w:t>
      </w:r>
      <w:r>
        <w:rPr>
          <w:sz w:val="22"/>
          <w:lang w:val="en-US" w:eastAsia="el-GR"/>
        </w:rPr>
        <w:t>enhance further the energy efficiency</w:t>
      </w:r>
      <w:r w:rsidR="000E63A5">
        <w:rPr>
          <w:sz w:val="22"/>
          <w:lang w:val="en-US" w:eastAsia="el-GR"/>
        </w:rPr>
        <w:t>, a nanosecond pulsed (NSP) generator was used for the plasma species formation with a rapid rising time (~4 ns). Detailed p</w:t>
      </w:r>
      <w:r w:rsidR="00CD2B00">
        <w:rPr>
          <w:sz w:val="22"/>
          <w:lang w:val="en-US" w:eastAsia="el-GR"/>
        </w:rPr>
        <w:t>arametric</w:t>
      </w:r>
      <w:r w:rsidR="00CD2B00" w:rsidRPr="006E6279">
        <w:rPr>
          <w:sz w:val="22"/>
          <w:lang w:val="en-US" w:eastAsia="el-GR"/>
        </w:rPr>
        <w:t xml:space="preserve"> analysis was performed in order to investigate the role of catalyst loading, water content and different injected gases</w:t>
      </w:r>
      <w:r w:rsidR="0070789C">
        <w:rPr>
          <w:sz w:val="22"/>
          <w:lang w:val="en-US" w:eastAsia="el-GR"/>
        </w:rPr>
        <w:t>. The degradation mechanism was explored</w:t>
      </w:r>
      <w:r w:rsidR="00297495">
        <w:rPr>
          <w:sz w:val="22"/>
          <w:lang w:val="en-US" w:eastAsia="el-GR"/>
        </w:rPr>
        <w:t xml:space="preserve"> by measuring NO</w:t>
      </w:r>
      <w:r w:rsidR="00297495" w:rsidRPr="002402F2">
        <w:rPr>
          <w:sz w:val="22"/>
          <w:vertAlign w:val="subscript"/>
          <w:lang w:val="en-US" w:eastAsia="el-GR"/>
        </w:rPr>
        <w:t>2</w:t>
      </w:r>
      <w:r w:rsidR="00297495">
        <w:rPr>
          <w:sz w:val="22"/>
          <w:lang w:val="en-US" w:eastAsia="el-GR"/>
        </w:rPr>
        <w:t xml:space="preserve"> and O</w:t>
      </w:r>
      <w:r w:rsidR="00297495" w:rsidRPr="005E25FE">
        <w:rPr>
          <w:sz w:val="22"/>
          <w:vertAlign w:val="subscript"/>
          <w:lang w:val="en-US" w:eastAsia="el-GR"/>
        </w:rPr>
        <w:t>3</w:t>
      </w:r>
      <w:r w:rsidR="00297495">
        <w:rPr>
          <w:sz w:val="22"/>
          <w:vertAlign w:val="subscript"/>
          <w:lang w:val="en-US" w:eastAsia="el-GR"/>
        </w:rPr>
        <w:t xml:space="preserve"> </w:t>
      </w:r>
      <w:r w:rsidR="00297495">
        <w:rPr>
          <w:sz w:val="22"/>
          <w:lang w:val="en-US" w:eastAsia="el-GR"/>
        </w:rPr>
        <w:t>in the</w:t>
      </w:r>
      <w:r>
        <w:rPr>
          <w:sz w:val="22"/>
          <w:lang w:val="en-US" w:eastAsia="el-GR"/>
        </w:rPr>
        <w:t xml:space="preserve"> plasma</w:t>
      </w:r>
      <w:r w:rsidR="00297495">
        <w:rPr>
          <w:sz w:val="22"/>
          <w:lang w:val="en-US" w:eastAsia="el-GR"/>
        </w:rPr>
        <w:t xml:space="preserve"> exhaust gases</w:t>
      </w:r>
      <w:r w:rsidR="000A1E52">
        <w:rPr>
          <w:sz w:val="22"/>
          <w:lang w:val="en-US" w:eastAsia="el-GR"/>
        </w:rPr>
        <w:t xml:space="preserve"> in the presence and in the absence of catalysts whereas</w:t>
      </w:r>
      <w:r w:rsidR="000E63A5" w:rsidRPr="000E63A5">
        <w:rPr>
          <w:sz w:val="22"/>
          <w:lang w:val="en-US" w:eastAsia="el-GR"/>
        </w:rPr>
        <w:t xml:space="preserve"> the impact of </w:t>
      </w:r>
      <w:r w:rsidR="000E63A5" w:rsidRPr="000E63A5">
        <w:rPr>
          <w:sz w:val="22"/>
          <w:vertAlign w:val="superscript"/>
          <w:lang w:val="en-US" w:eastAsia="el-GR"/>
        </w:rPr>
        <w:t>1</w:t>
      </w:r>
      <w:r w:rsidR="000E63A5" w:rsidRPr="000E63A5">
        <w:rPr>
          <w:sz w:val="22"/>
          <w:lang w:val="en-US" w:eastAsia="el-GR"/>
        </w:rPr>
        <w:t>O</w:t>
      </w:r>
      <w:r w:rsidR="000E63A5" w:rsidRPr="000E63A5">
        <w:rPr>
          <w:sz w:val="22"/>
          <w:vertAlign w:val="subscript"/>
          <w:lang w:val="en-US" w:eastAsia="el-GR"/>
        </w:rPr>
        <w:t>2</w:t>
      </w:r>
      <w:r w:rsidR="000E63A5" w:rsidRPr="000E63A5">
        <w:rPr>
          <w:sz w:val="22"/>
          <w:lang w:val="en-US" w:eastAsia="el-GR"/>
        </w:rPr>
        <w:t xml:space="preserve"> and OH radicals in the degradation process </w:t>
      </w:r>
      <w:r w:rsidR="000A1E52">
        <w:rPr>
          <w:sz w:val="22"/>
          <w:lang w:val="en-US" w:eastAsia="el-GR"/>
        </w:rPr>
        <w:t xml:space="preserve">was evaluated </w:t>
      </w:r>
      <w:r w:rsidR="000E63A5" w:rsidRPr="000E63A5">
        <w:rPr>
          <w:sz w:val="22"/>
          <w:lang w:val="en-US" w:eastAsia="el-GR"/>
        </w:rPr>
        <w:t>using appropriate scavengers</w:t>
      </w:r>
      <w:r w:rsidR="00CD2B00" w:rsidRPr="006E6279">
        <w:rPr>
          <w:sz w:val="22"/>
          <w:lang w:val="en-US" w:eastAsia="el-GR"/>
        </w:rPr>
        <w:t>. From the results obtained so far, the examined cataly</w:t>
      </w:r>
      <w:r>
        <w:rPr>
          <w:sz w:val="22"/>
          <w:lang w:val="en-US" w:eastAsia="el-GR"/>
        </w:rPr>
        <w:t>sts</w:t>
      </w:r>
      <w:r w:rsidR="00CD2B00" w:rsidRPr="006E6279">
        <w:rPr>
          <w:sz w:val="22"/>
          <w:lang w:val="en-US" w:eastAsia="el-GR"/>
        </w:rPr>
        <w:t xml:space="preserve"> had a promising performance</w:t>
      </w:r>
      <w:r w:rsidR="00CD2B00">
        <w:rPr>
          <w:sz w:val="22"/>
          <w:lang w:val="en-US" w:eastAsia="el-GR"/>
        </w:rPr>
        <w:t xml:space="preserve"> combined with CAP</w:t>
      </w:r>
      <w:r w:rsidR="00CD2B00" w:rsidRPr="006E6279">
        <w:rPr>
          <w:sz w:val="22"/>
          <w:lang w:val="en-US" w:eastAsia="el-GR"/>
        </w:rPr>
        <w:t xml:space="preserve">, as they contributed to the increase of trifluralin degradation efficiency </w:t>
      </w:r>
      <w:r>
        <w:rPr>
          <w:sz w:val="22"/>
          <w:lang w:val="en-US" w:eastAsia="el-GR"/>
        </w:rPr>
        <w:t xml:space="preserve">and degradation rate </w:t>
      </w:r>
      <w:bookmarkStart w:id="2" w:name="_GoBack"/>
      <w:bookmarkEnd w:id="2"/>
      <w:r w:rsidR="00CD2B00">
        <w:rPr>
          <w:sz w:val="22"/>
          <w:lang w:val="en-US" w:eastAsia="el-GR"/>
        </w:rPr>
        <w:t xml:space="preserve">regardless of </w:t>
      </w:r>
      <w:r w:rsidR="00CD2B00" w:rsidRPr="006E6279">
        <w:rPr>
          <w:sz w:val="22"/>
          <w:lang w:val="en-US" w:eastAsia="el-GR"/>
        </w:rPr>
        <w:t>catalyst content.</w:t>
      </w:r>
      <w:r w:rsidR="00CD2B00">
        <w:rPr>
          <w:sz w:val="22"/>
          <w:lang w:val="en-US" w:eastAsia="el-GR"/>
        </w:rPr>
        <w:t xml:space="preserve"> </w:t>
      </w:r>
    </w:p>
    <w:p w14:paraId="10C9CC99" w14:textId="2AEFCD47" w:rsidR="00511B42" w:rsidRDefault="00511B42" w:rsidP="00511B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</w:p>
    <w:p w14:paraId="4CA2F2BC" w14:textId="2246FD40" w:rsidR="000A1E52" w:rsidRDefault="000A1E52" w:rsidP="00511B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</w:p>
    <w:p w14:paraId="186E49C2" w14:textId="77777777" w:rsidR="000A1E52" w:rsidRPr="00CD2B00" w:rsidRDefault="000A1E52" w:rsidP="00511B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</w:p>
    <w:p w14:paraId="0E1CE1BB" w14:textId="457271BA" w:rsidR="003A60BA" w:rsidRPr="00CD2B00" w:rsidRDefault="00167BDB" w:rsidP="003A60BA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CD2B00">
        <w:rPr>
          <w:rFonts w:cs="Times New Roman"/>
          <w:b/>
          <w:bCs/>
          <w:szCs w:val="24"/>
          <w:lang w:val="en-US"/>
        </w:rPr>
        <w:t>:</w:t>
      </w:r>
      <w:r w:rsidR="00DE346C" w:rsidRPr="00CD2B00">
        <w:rPr>
          <w:rFonts w:cs="Times New Roman"/>
          <w:b/>
          <w:bCs/>
          <w:szCs w:val="24"/>
          <w:lang w:val="en-US"/>
        </w:rPr>
        <w:t xml:space="preserve"> </w:t>
      </w:r>
    </w:p>
    <w:p w14:paraId="6A02AD20" w14:textId="0DC6444C" w:rsidR="00AB7067" w:rsidRDefault="0070789C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proofErr w:type="spellStart"/>
      <w:r w:rsidRPr="0070789C">
        <w:rPr>
          <w:rFonts w:cs="Times New Roman"/>
          <w:bCs/>
          <w:sz w:val="20"/>
          <w:szCs w:val="20"/>
          <w:lang w:val="en-US"/>
        </w:rPr>
        <w:t>Plasmacatalysis</w:t>
      </w:r>
      <w:proofErr w:type="spellEnd"/>
      <w:r w:rsidRPr="0070789C">
        <w:rPr>
          <w:rFonts w:cs="Times New Roman"/>
          <w:bCs/>
          <w:sz w:val="20"/>
          <w:szCs w:val="20"/>
          <w:lang w:val="en-US"/>
        </w:rPr>
        <w:t>; Dielectric barrier discharge; Cold plasma; Photocatalysts; Pesticides.</w:t>
      </w:r>
    </w:p>
    <w:p w14:paraId="0A36D80D" w14:textId="77777777" w:rsidR="0070789C" w:rsidRPr="003A60BA" w:rsidRDefault="0070789C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126AE1DC" w:rsidR="000E7582" w:rsidRPr="00167BDB" w:rsidRDefault="00167BDB" w:rsidP="00AD4D26">
      <w:pPr>
        <w:spacing w:after="120" w:line="240" w:lineRule="auto"/>
        <w:rPr>
          <w:rFonts w:cs="Times New Roman"/>
          <w:bCs/>
          <w:color w:val="FF0000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 xml:space="preserve">REFERENCES </w:t>
      </w:r>
    </w:p>
    <w:p w14:paraId="3B56CE78" w14:textId="79DD972A" w:rsidR="00130EB1" w:rsidRDefault="0027478C" w:rsidP="00AD4D2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A3151">
        <w:rPr>
          <w:rStyle w:val="hps"/>
          <w:rFonts w:cstheme="minorHAnsi"/>
          <w:bCs/>
          <w:sz w:val="20"/>
          <w:szCs w:val="20"/>
          <w:lang w:val="en-US"/>
        </w:rPr>
        <w:t>[1]</w:t>
      </w:r>
      <w:r w:rsidR="00130EB1" w:rsidRPr="00DA3151">
        <w:rPr>
          <w:rFonts w:cstheme="minorHAnsi"/>
          <w:sz w:val="20"/>
          <w:szCs w:val="20"/>
        </w:rPr>
        <w:t xml:space="preserve"> </w:t>
      </w:r>
      <w:r w:rsidR="00874EB6" w:rsidRPr="00874EB6">
        <w:rPr>
          <w:rFonts w:cstheme="minorHAnsi"/>
          <w:sz w:val="20"/>
          <w:szCs w:val="20"/>
        </w:rPr>
        <w:t>C.A. Aggelopoulos</w:t>
      </w:r>
      <w:r w:rsidR="00874EB6">
        <w:rPr>
          <w:rFonts w:cstheme="minorHAnsi"/>
          <w:sz w:val="20"/>
          <w:szCs w:val="20"/>
        </w:rPr>
        <w:t>. (2022)</w:t>
      </w:r>
      <w:r w:rsidR="00874EB6" w:rsidRPr="00874EB6">
        <w:rPr>
          <w:rFonts w:cstheme="minorHAnsi"/>
          <w:sz w:val="20"/>
          <w:szCs w:val="20"/>
        </w:rPr>
        <w:t xml:space="preserve"> </w:t>
      </w:r>
      <w:r w:rsidR="00874EB6" w:rsidRPr="00874EB6">
        <w:rPr>
          <w:rFonts w:cstheme="minorHAnsi"/>
          <w:i/>
          <w:sz w:val="20"/>
          <w:szCs w:val="20"/>
        </w:rPr>
        <w:t>Chem. Eng. J.</w:t>
      </w:r>
      <w:r w:rsidR="00874EB6" w:rsidRPr="00874EB6">
        <w:rPr>
          <w:rFonts w:cstheme="minorHAnsi"/>
          <w:sz w:val="20"/>
          <w:szCs w:val="20"/>
        </w:rPr>
        <w:t xml:space="preserve"> </w:t>
      </w:r>
      <w:r w:rsidR="00874EB6" w:rsidRPr="00874EB6">
        <w:rPr>
          <w:rFonts w:cstheme="minorHAnsi"/>
          <w:i/>
          <w:sz w:val="20"/>
          <w:szCs w:val="20"/>
        </w:rPr>
        <w:t>428</w:t>
      </w:r>
      <w:r w:rsidR="00874EB6">
        <w:rPr>
          <w:rFonts w:cstheme="minorHAnsi"/>
          <w:sz w:val="20"/>
          <w:szCs w:val="20"/>
        </w:rPr>
        <w:t xml:space="preserve">: </w:t>
      </w:r>
      <w:r w:rsidR="00874EB6" w:rsidRPr="00874EB6">
        <w:rPr>
          <w:rFonts w:cstheme="minorHAnsi"/>
          <w:sz w:val="20"/>
          <w:szCs w:val="20"/>
        </w:rPr>
        <w:t>131657.</w:t>
      </w:r>
    </w:p>
    <w:p w14:paraId="28D89AE0" w14:textId="7B553CFB" w:rsidR="00874EB6" w:rsidRDefault="00874EB6" w:rsidP="00AD4D26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[2] </w:t>
      </w:r>
      <w:r w:rsidRPr="00874EB6">
        <w:rPr>
          <w:rFonts w:cstheme="minorHAnsi"/>
          <w:sz w:val="20"/>
          <w:szCs w:val="20"/>
        </w:rPr>
        <w:t>C.A. Aggelopoulos</w:t>
      </w:r>
      <w:r>
        <w:rPr>
          <w:rFonts w:cstheme="minorHAnsi"/>
          <w:sz w:val="20"/>
          <w:szCs w:val="20"/>
        </w:rPr>
        <w:t xml:space="preserve"> et al., (2020)</w:t>
      </w:r>
      <w:r w:rsidRPr="00874EB6">
        <w:rPr>
          <w:rFonts w:cstheme="minorHAnsi"/>
          <w:i/>
          <w:sz w:val="20"/>
          <w:szCs w:val="20"/>
        </w:rPr>
        <w:t xml:space="preserve"> Chem. Eng. J.</w:t>
      </w:r>
      <w:r w:rsidRPr="00874EB6">
        <w:rPr>
          <w:rFonts w:cstheme="minorHAnsi"/>
          <w:sz w:val="20"/>
          <w:szCs w:val="20"/>
        </w:rPr>
        <w:t xml:space="preserve"> </w:t>
      </w:r>
      <w:r w:rsidRPr="003B4C83">
        <w:rPr>
          <w:rFonts w:cstheme="minorHAnsi"/>
          <w:i/>
          <w:sz w:val="20"/>
          <w:szCs w:val="20"/>
        </w:rPr>
        <w:t>398</w:t>
      </w:r>
      <w:r w:rsidR="003B4C83">
        <w:rPr>
          <w:rFonts w:cstheme="minorHAnsi"/>
          <w:sz w:val="20"/>
          <w:szCs w:val="20"/>
        </w:rPr>
        <w:t xml:space="preserve">: </w:t>
      </w:r>
      <w:r w:rsidRPr="00874EB6">
        <w:rPr>
          <w:rFonts w:cstheme="minorHAnsi"/>
          <w:sz w:val="20"/>
          <w:szCs w:val="20"/>
        </w:rPr>
        <w:t>125622.</w:t>
      </w:r>
    </w:p>
    <w:p w14:paraId="1D7BAB28" w14:textId="5691F01C" w:rsidR="004F7B38" w:rsidRDefault="00874EB6" w:rsidP="003B4C83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[3] </w:t>
      </w:r>
      <w:r w:rsidR="0070789C">
        <w:rPr>
          <w:rFonts w:cstheme="minorHAnsi"/>
          <w:sz w:val="20"/>
          <w:szCs w:val="20"/>
        </w:rPr>
        <w:t xml:space="preserve">Y. </w:t>
      </w:r>
      <w:proofErr w:type="spellStart"/>
      <w:r w:rsidR="0070789C">
        <w:rPr>
          <w:rFonts w:cstheme="minorHAnsi"/>
          <w:sz w:val="20"/>
          <w:szCs w:val="20"/>
        </w:rPr>
        <w:t>Gorbanev</w:t>
      </w:r>
      <w:proofErr w:type="spellEnd"/>
      <w:r w:rsidR="0070789C">
        <w:rPr>
          <w:rFonts w:cstheme="minorHAnsi"/>
          <w:sz w:val="20"/>
          <w:szCs w:val="20"/>
        </w:rPr>
        <w:t xml:space="preserve"> et al. (2018</w:t>
      </w:r>
      <w:r>
        <w:rPr>
          <w:rFonts w:cstheme="minorHAnsi"/>
          <w:sz w:val="20"/>
          <w:szCs w:val="20"/>
        </w:rPr>
        <w:t xml:space="preserve">) </w:t>
      </w:r>
      <w:r w:rsidR="0070789C">
        <w:rPr>
          <w:rFonts w:cstheme="minorHAnsi"/>
          <w:i/>
          <w:sz w:val="20"/>
          <w:szCs w:val="20"/>
        </w:rPr>
        <w:t xml:space="preserve">Anal. Chem. </w:t>
      </w:r>
      <w:r w:rsidR="0070789C" w:rsidRPr="0070789C">
        <w:rPr>
          <w:rFonts w:cstheme="minorHAnsi"/>
          <w:i/>
          <w:sz w:val="20"/>
          <w:szCs w:val="20"/>
        </w:rPr>
        <w:t>90(22):</w:t>
      </w:r>
      <w:r w:rsidR="0070789C" w:rsidRPr="0070789C">
        <w:rPr>
          <w:rFonts w:cstheme="minorHAnsi"/>
          <w:sz w:val="20"/>
          <w:szCs w:val="20"/>
        </w:rPr>
        <w:t xml:space="preserve"> 13151–13158.</w:t>
      </w:r>
    </w:p>
    <w:p w14:paraId="3E7B9462" w14:textId="50A629C5" w:rsidR="0070789C" w:rsidRPr="00130EB1" w:rsidRDefault="0070789C" w:rsidP="003B4C83">
      <w:pPr>
        <w:spacing w:after="1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theme="minorHAnsi"/>
          <w:sz w:val="20"/>
          <w:szCs w:val="20"/>
        </w:rPr>
        <w:t>[4] M. Russo et al. (2020)</w:t>
      </w:r>
      <w:r w:rsidR="00A223D0">
        <w:rPr>
          <w:rFonts w:cstheme="minorHAnsi"/>
          <w:sz w:val="20"/>
          <w:szCs w:val="20"/>
        </w:rPr>
        <w:t xml:space="preserve"> </w:t>
      </w:r>
      <w:r w:rsidR="00A223D0" w:rsidRPr="00A223D0">
        <w:rPr>
          <w:rFonts w:cstheme="minorHAnsi"/>
          <w:i/>
          <w:sz w:val="20"/>
          <w:szCs w:val="20"/>
        </w:rPr>
        <w:t>Catalysts</w:t>
      </w:r>
      <w:r w:rsidRPr="00A223D0">
        <w:rPr>
          <w:rFonts w:cstheme="minorHAnsi"/>
          <w:i/>
          <w:sz w:val="20"/>
          <w:szCs w:val="20"/>
        </w:rPr>
        <w:t xml:space="preserve"> 10(12)</w:t>
      </w:r>
      <w:r w:rsidRPr="0070789C">
        <w:rPr>
          <w:rFonts w:cstheme="minorHAnsi"/>
          <w:sz w:val="20"/>
          <w:szCs w:val="20"/>
        </w:rPr>
        <w:t>, 1438</w:t>
      </w:r>
    </w:p>
    <w:sectPr w:rsidR="0070789C" w:rsidRPr="00130EB1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7980" w14:textId="77777777" w:rsidR="00073317" w:rsidRDefault="00073317" w:rsidP="00B10FCD">
      <w:pPr>
        <w:spacing w:after="0" w:line="240" w:lineRule="auto"/>
      </w:pPr>
      <w:r>
        <w:separator/>
      </w:r>
    </w:p>
  </w:endnote>
  <w:endnote w:type="continuationSeparator" w:id="0">
    <w:p w14:paraId="1327AE71" w14:textId="77777777" w:rsidR="00073317" w:rsidRDefault="0007331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AD32DA" w:rsidRPr="00AD32DA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A461" w14:textId="77777777" w:rsidR="00073317" w:rsidRDefault="00073317" w:rsidP="00B10FCD">
      <w:pPr>
        <w:spacing w:after="0" w:line="240" w:lineRule="auto"/>
      </w:pPr>
      <w:r>
        <w:separator/>
      </w:r>
    </w:p>
  </w:footnote>
  <w:footnote w:type="continuationSeparator" w:id="0">
    <w:p w14:paraId="52D6D9A5" w14:textId="77777777" w:rsidR="00073317" w:rsidRDefault="0007331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F3D"/>
    <w:multiLevelType w:val="hybridMultilevel"/>
    <w:tmpl w:val="3E34A3E0"/>
    <w:lvl w:ilvl="0" w:tplc="4366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8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E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A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4B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2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E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5F69"/>
    <w:rsid w:val="00073317"/>
    <w:rsid w:val="000A1E52"/>
    <w:rsid w:val="000E63A5"/>
    <w:rsid w:val="000E7582"/>
    <w:rsid w:val="00100F94"/>
    <w:rsid w:val="00130EB1"/>
    <w:rsid w:val="001327BE"/>
    <w:rsid w:val="00134726"/>
    <w:rsid w:val="00137B0D"/>
    <w:rsid w:val="0015620C"/>
    <w:rsid w:val="00167BDB"/>
    <w:rsid w:val="001C14C0"/>
    <w:rsid w:val="001C2237"/>
    <w:rsid w:val="001E6140"/>
    <w:rsid w:val="0020679B"/>
    <w:rsid w:val="00257888"/>
    <w:rsid w:val="002607CE"/>
    <w:rsid w:val="0027478C"/>
    <w:rsid w:val="00285498"/>
    <w:rsid w:val="002937B1"/>
    <w:rsid w:val="002938E7"/>
    <w:rsid w:val="00297495"/>
    <w:rsid w:val="002B13CB"/>
    <w:rsid w:val="00325A35"/>
    <w:rsid w:val="00377CAF"/>
    <w:rsid w:val="003A0A13"/>
    <w:rsid w:val="003A60BA"/>
    <w:rsid w:val="003B4C83"/>
    <w:rsid w:val="0041005D"/>
    <w:rsid w:val="00413D88"/>
    <w:rsid w:val="004C04B1"/>
    <w:rsid w:val="004C505B"/>
    <w:rsid w:val="004C6561"/>
    <w:rsid w:val="004E521F"/>
    <w:rsid w:val="004F7B38"/>
    <w:rsid w:val="00511B42"/>
    <w:rsid w:val="00545562"/>
    <w:rsid w:val="00577CDF"/>
    <w:rsid w:val="005A4565"/>
    <w:rsid w:val="00670DAB"/>
    <w:rsid w:val="00687232"/>
    <w:rsid w:val="006C199A"/>
    <w:rsid w:val="006D71EE"/>
    <w:rsid w:val="00705DF0"/>
    <w:rsid w:val="0070789C"/>
    <w:rsid w:val="00710509"/>
    <w:rsid w:val="0074633D"/>
    <w:rsid w:val="007A0B44"/>
    <w:rsid w:val="007E3AF6"/>
    <w:rsid w:val="00825D21"/>
    <w:rsid w:val="00874EB6"/>
    <w:rsid w:val="008A7E68"/>
    <w:rsid w:val="00915963"/>
    <w:rsid w:val="00917DC9"/>
    <w:rsid w:val="00935497"/>
    <w:rsid w:val="009803F2"/>
    <w:rsid w:val="00997EF7"/>
    <w:rsid w:val="009C653D"/>
    <w:rsid w:val="00A223D0"/>
    <w:rsid w:val="00A84D47"/>
    <w:rsid w:val="00AA4FE7"/>
    <w:rsid w:val="00AB16ED"/>
    <w:rsid w:val="00AB179D"/>
    <w:rsid w:val="00AB24B3"/>
    <w:rsid w:val="00AB7067"/>
    <w:rsid w:val="00AD32DA"/>
    <w:rsid w:val="00AD393E"/>
    <w:rsid w:val="00AD4D26"/>
    <w:rsid w:val="00AF459A"/>
    <w:rsid w:val="00B10FCD"/>
    <w:rsid w:val="00B36AC7"/>
    <w:rsid w:val="00C00187"/>
    <w:rsid w:val="00C04EBD"/>
    <w:rsid w:val="00C07544"/>
    <w:rsid w:val="00C55D63"/>
    <w:rsid w:val="00C8029A"/>
    <w:rsid w:val="00C82846"/>
    <w:rsid w:val="00C84852"/>
    <w:rsid w:val="00CA6277"/>
    <w:rsid w:val="00CC77DD"/>
    <w:rsid w:val="00CD2B00"/>
    <w:rsid w:val="00CF4EEC"/>
    <w:rsid w:val="00D15BF6"/>
    <w:rsid w:val="00D56486"/>
    <w:rsid w:val="00D678BE"/>
    <w:rsid w:val="00D82F14"/>
    <w:rsid w:val="00DA3151"/>
    <w:rsid w:val="00DA5472"/>
    <w:rsid w:val="00DD09EE"/>
    <w:rsid w:val="00DE346C"/>
    <w:rsid w:val="00E63CAC"/>
    <w:rsid w:val="00E853C3"/>
    <w:rsid w:val="00E87E35"/>
    <w:rsid w:val="00ED5587"/>
    <w:rsid w:val="00ED7AD7"/>
    <w:rsid w:val="00F43B4B"/>
    <w:rsid w:val="00F8074C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D88"/>
    <w:pPr>
      <w:spacing w:after="0" w:line="240" w:lineRule="auto"/>
    </w:pPr>
    <w:rPr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D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B4B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gelop@iceht.fort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96F0-58D6-4F38-BD3C-0629D1F8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caggelop</dc:creator>
  <cp:lastModifiedBy>Christos Aggelopoulos</cp:lastModifiedBy>
  <cp:revision>3</cp:revision>
  <cp:lastPrinted>2016-12-14T08:08:00Z</cp:lastPrinted>
  <dcterms:created xsi:type="dcterms:W3CDTF">2022-01-20T11:12:00Z</dcterms:created>
  <dcterms:modified xsi:type="dcterms:W3CDTF">2022-02-12T08:58:00Z</dcterms:modified>
</cp:coreProperties>
</file>