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7F5928" w14:textId="77777777" w:rsidR="00C04EBD" w:rsidRPr="005F3FE6" w:rsidRDefault="00C04EBD" w:rsidP="00257888">
      <w:pPr>
        <w:spacing w:after="120" w:line="240" w:lineRule="auto"/>
        <w:jc w:val="center"/>
        <w:rPr>
          <w:rStyle w:val="hps"/>
          <w:rFonts w:cs="Times New Roman"/>
          <w:b/>
          <w:szCs w:val="24"/>
          <w:lang w:val="en-US"/>
        </w:rPr>
      </w:pPr>
    </w:p>
    <w:p w14:paraId="058C46DA" w14:textId="0E5DA0A6" w:rsidR="00257888" w:rsidRPr="00DA5472" w:rsidRDefault="00DD550D" w:rsidP="00257888">
      <w:pPr>
        <w:spacing w:after="120" w:line="240" w:lineRule="auto"/>
        <w:jc w:val="center"/>
        <w:rPr>
          <w:rStyle w:val="hps"/>
          <w:rFonts w:cs="Times New Roman"/>
          <w:b/>
          <w:szCs w:val="24"/>
          <w:lang w:val="el-GR"/>
        </w:rPr>
      </w:pPr>
      <w:r>
        <w:rPr>
          <w:rStyle w:val="hps"/>
          <w:rFonts w:cs="Times New Roman"/>
          <w:b/>
          <w:szCs w:val="24"/>
          <w:lang w:val="el-GR"/>
        </w:rPr>
        <w:t>ΜΕΛΕΤΗ ΣΥΝΔΥΑΣΜΕΝ</w:t>
      </w:r>
      <w:r w:rsidR="002E701A">
        <w:rPr>
          <w:rStyle w:val="hps"/>
          <w:rFonts w:cs="Times New Roman"/>
          <w:b/>
          <w:szCs w:val="24"/>
          <w:lang w:val="el-GR"/>
        </w:rPr>
        <w:t>ΗΣ</w:t>
      </w:r>
      <w:r>
        <w:rPr>
          <w:rStyle w:val="hps"/>
          <w:rFonts w:cs="Times New Roman"/>
          <w:b/>
          <w:szCs w:val="24"/>
          <w:lang w:val="el-GR"/>
        </w:rPr>
        <w:t xml:space="preserve"> </w:t>
      </w:r>
      <w:r w:rsidR="002E701A">
        <w:rPr>
          <w:rStyle w:val="hps"/>
          <w:rFonts w:cs="Times New Roman"/>
          <w:b/>
          <w:szCs w:val="24"/>
          <w:lang w:val="el-GR"/>
        </w:rPr>
        <w:t>ΔΙΕΡΓΑΣΙΑΣ</w:t>
      </w:r>
      <w:r>
        <w:rPr>
          <w:rStyle w:val="hps"/>
          <w:rFonts w:cs="Times New Roman"/>
          <w:b/>
          <w:szCs w:val="24"/>
          <w:lang w:val="el-GR"/>
        </w:rPr>
        <w:t xml:space="preserve">  ΕΝΕΡΓΕΙΑΚΗΣ ΑΞΙΟΠΟΙΗΣΗΣ ΕΛΑΙΟΠΥΡΗΝΑ ΠΡΟΣ ΤΑΥΤΟΧΡΟΝΗ ΠΑΡΑΓΩΓΗ ΒΙΟΕΛΑΙΟΥ ΚΑΙ ΗΛΕΚΤ</w:t>
      </w:r>
      <w:r w:rsidR="002E701A">
        <w:rPr>
          <w:rStyle w:val="hps"/>
          <w:rFonts w:cs="Times New Roman"/>
          <w:b/>
          <w:szCs w:val="24"/>
          <w:lang w:val="el-GR"/>
        </w:rPr>
        <w:t>Ρ</w:t>
      </w:r>
      <w:r>
        <w:rPr>
          <w:rStyle w:val="hps"/>
          <w:rFonts w:cs="Times New Roman"/>
          <w:b/>
          <w:szCs w:val="24"/>
          <w:lang w:val="el-GR"/>
        </w:rPr>
        <w:t xml:space="preserve">ΙΚΗΣ </w:t>
      </w:r>
      <w:r w:rsidR="002E701A">
        <w:rPr>
          <w:rStyle w:val="hps"/>
          <w:rFonts w:cs="Times New Roman"/>
          <w:b/>
          <w:szCs w:val="24"/>
          <w:lang w:val="el-GR"/>
        </w:rPr>
        <w:t>ΙΣΧΥΟΣ</w:t>
      </w:r>
      <w:r w:rsidR="00DA5472">
        <w:rPr>
          <w:rStyle w:val="hps"/>
          <w:rFonts w:cs="Times New Roman"/>
          <w:b/>
          <w:szCs w:val="24"/>
          <w:lang w:val="el-GR"/>
        </w:rPr>
        <w:t xml:space="preserve"> </w:t>
      </w:r>
    </w:p>
    <w:p w14:paraId="7186BB36" w14:textId="77777777" w:rsidR="002937B1" w:rsidRPr="002062B7" w:rsidRDefault="002937B1" w:rsidP="002937B1">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spacing w:before="60" w:after="0" w:line="240" w:lineRule="auto"/>
        <w:ind w:right="424"/>
        <w:jc w:val="center"/>
        <w:rPr>
          <w:rFonts w:eastAsia="Times New Roman" w:cs="Times New Roman"/>
          <w:b/>
          <w:caps/>
          <w:color w:val="auto"/>
          <w:szCs w:val="24"/>
          <w:lang w:val="el-GR" w:eastAsia="el-GR"/>
        </w:rPr>
      </w:pPr>
    </w:p>
    <w:p w14:paraId="58C8F24A" w14:textId="7F125BB9" w:rsidR="00257888" w:rsidRPr="00C04EBD" w:rsidRDefault="00DD550D" w:rsidP="00257888">
      <w:pPr>
        <w:spacing w:after="120" w:line="240" w:lineRule="auto"/>
        <w:jc w:val="center"/>
        <w:rPr>
          <w:rStyle w:val="hps"/>
          <w:rFonts w:cs="Times New Roman"/>
          <w:b/>
          <w:szCs w:val="24"/>
          <w:lang w:val="el-GR"/>
        </w:rPr>
      </w:pPr>
      <w:r w:rsidRPr="00DD550D">
        <w:rPr>
          <w:rStyle w:val="hps"/>
          <w:rFonts w:cs="Times New Roman"/>
          <w:b/>
          <w:szCs w:val="24"/>
          <w:lang w:val="el-GR"/>
        </w:rPr>
        <w:t>Α</w:t>
      </w:r>
      <w:r>
        <w:rPr>
          <w:rStyle w:val="hps"/>
          <w:rFonts w:cs="Times New Roman"/>
          <w:b/>
          <w:szCs w:val="24"/>
          <w:lang w:val="el-GR"/>
        </w:rPr>
        <w:t>.</w:t>
      </w:r>
      <w:r w:rsidRPr="00DD550D">
        <w:rPr>
          <w:rStyle w:val="hps"/>
          <w:rFonts w:cs="Times New Roman"/>
          <w:b/>
          <w:szCs w:val="24"/>
          <w:lang w:val="el-GR"/>
        </w:rPr>
        <w:t xml:space="preserve"> </w:t>
      </w:r>
      <w:r w:rsidR="00D479FA" w:rsidRPr="00DD550D">
        <w:rPr>
          <w:rStyle w:val="hps"/>
          <w:rFonts w:cs="Times New Roman"/>
          <w:b/>
          <w:szCs w:val="24"/>
          <w:lang w:val="el-GR"/>
        </w:rPr>
        <w:t>Λαμπρόπουλος</w:t>
      </w:r>
      <w:r w:rsidR="00D479FA" w:rsidRPr="00D479FA">
        <w:rPr>
          <w:rStyle w:val="hps"/>
          <w:rFonts w:cs="Times New Roman"/>
          <w:b/>
          <w:szCs w:val="24"/>
          <w:vertAlign w:val="superscript"/>
          <w:lang w:val="el-GR"/>
        </w:rPr>
        <w:t>1</w:t>
      </w:r>
      <w:r w:rsidRPr="00DD550D">
        <w:rPr>
          <w:rStyle w:val="hps"/>
          <w:rFonts w:cs="Times New Roman"/>
          <w:b/>
          <w:szCs w:val="24"/>
          <w:vertAlign w:val="superscript"/>
          <w:lang w:val="el-GR"/>
        </w:rPr>
        <w:t>*</w:t>
      </w:r>
      <w:r w:rsidRPr="00DD550D">
        <w:rPr>
          <w:rStyle w:val="hps"/>
          <w:rFonts w:cs="Times New Roman"/>
          <w:b/>
          <w:szCs w:val="24"/>
          <w:lang w:val="el-GR"/>
        </w:rPr>
        <w:t xml:space="preserve">, </w:t>
      </w:r>
      <w:r>
        <w:rPr>
          <w:rStyle w:val="hps"/>
          <w:rFonts w:cs="Times New Roman"/>
          <w:b/>
          <w:szCs w:val="24"/>
          <w:lang w:val="el-GR"/>
        </w:rPr>
        <w:t xml:space="preserve">Γ. </w:t>
      </w:r>
      <w:r w:rsidR="00D479FA">
        <w:rPr>
          <w:rStyle w:val="hps"/>
          <w:rFonts w:cs="Times New Roman"/>
          <w:b/>
          <w:szCs w:val="24"/>
          <w:lang w:val="el-GR"/>
        </w:rPr>
        <w:t>Βαρβούτης</w:t>
      </w:r>
      <w:r w:rsidR="00D479FA" w:rsidRPr="00D479FA">
        <w:rPr>
          <w:rStyle w:val="hps"/>
          <w:rFonts w:cs="Times New Roman"/>
          <w:b/>
          <w:szCs w:val="24"/>
          <w:vertAlign w:val="superscript"/>
          <w:lang w:val="el-GR"/>
        </w:rPr>
        <w:t>1</w:t>
      </w:r>
      <w:r w:rsidR="006672B9" w:rsidRPr="006672B9">
        <w:rPr>
          <w:rStyle w:val="hps"/>
          <w:rFonts w:cs="Times New Roman"/>
          <w:b/>
          <w:szCs w:val="24"/>
          <w:vertAlign w:val="superscript"/>
          <w:lang w:val="el-GR"/>
        </w:rPr>
        <w:t>,4</w:t>
      </w:r>
      <w:r w:rsidRPr="00DD550D">
        <w:rPr>
          <w:rStyle w:val="hps"/>
          <w:rFonts w:cs="Times New Roman"/>
          <w:b/>
          <w:szCs w:val="24"/>
          <w:lang w:val="el-GR"/>
        </w:rPr>
        <w:t>,</w:t>
      </w:r>
      <w:r w:rsidR="006672B9">
        <w:rPr>
          <w:rStyle w:val="hps"/>
          <w:rFonts w:cs="Times New Roman"/>
          <w:b/>
          <w:szCs w:val="24"/>
          <w:lang w:val="el-GR"/>
        </w:rPr>
        <w:t xml:space="preserve"> </w:t>
      </w:r>
      <w:r w:rsidR="00D479FA">
        <w:rPr>
          <w:rStyle w:val="hps"/>
          <w:rFonts w:cs="Times New Roman"/>
          <w:b/>
          <w:szCs w:val="24"/>
          <w:lang w:val="el-GR"/>
        </w:rPr>
        <w:t>Δ. Ιψάκης</w:t>
      </w:r>
      <w:r w:rsidR="00D479FA" w:rsidRPr="00D479FA">
        <w:rPr>
          <w:rStyle w:val="hps"/>
          <w:rFonts w:cs="Times New Roman"/>
          <w:b/>
          <w:szCs w:val="24"/>
          <w:vertAlign w:val="superscript"/>
          <w:lang w:val="el-GR"/>
        </w:rPr>
        <w:t>2</w:t>
      </w:r>
      <w:r w:rsidR="00D479FA">
        <w:rPr>
          <w:rStyle w:val="hps"/>
          <w:rFonts w:cs="Times New Roman"/>
          <w:b/>
          <w:szCs w:val="24"/>
          <w:lang w:val="el-GR"/>
        </w:rPr>
        <w:t xml:space="preserve">, </w:t>
      </w:r>
      <w:r w:rsidR="006672B9">
        <w:rPr>
          <w:rStyle w:val="hps"/>
          <w:rFonts w:cs="Times New Roman"/>
          <w:b/>
          <w:szCs w:val="24"/>
          <w:lang w:val="el-GR"/>
        </w:rPr>
        <w:t xml:space="preserve">Ε. </w:t>
      </w:r>
      <w:r w:rsidR="00D479FA">
        <w:rPr>
          <w:rStyle w:val="hps"/>
          <w:rFonts w:cs="Times New Roman"/>
          <w:b/>
          <w:szCs w:val="24"/>
          <w:lang w:val="el-GR"/>
        </w:rPr>
        <w:t>Μαντέλα</w:t>
      </w:r>
      <w:r w:rsidR="00D479FA" w:rsidRPr="00D479FA">
        <w:rPr>
          <w:rStyle w:val="hps"/>
          <w:rFonts w:cs="Times New Roman"/>
          <w:b/>
          <w:szCs w:val="24"/>
          <w:vertAlign w:val="superscript"/>
          <w:lang w:val="el-GR"/>
        </w:rPr>
        <w:t>1</w:t>
      </w:r>
      <w:r w:rsidR="006672B9">
        <w:rPr>
          <w:rStyle w:val="hps"/>
          <w:rFonts w:cs="Times New Roman"/>
          <w:b/>
          <w:szCs w:val="24"/>
          <w:lang w:val="el-GR"/>
        </w:rPr>
        <w:t>,</w:t>
      </w:r>
      <w:r w:rsidRPr="00DD550D">
        <w:rPr>
          <w:rStyle w:val="hps"/>
          <w:rFonts w:cs="Times New Roman"/>
          <w:b/>
          <w:szCs w:val="24"/>
          <w:lang w:val="el-GR"/>
        </w:rPr>
        <w:t xml:space="preserve"> </w:t>
      </w:r>
      <w:r>
        <w:rPr>
          <w:rStyle w:val="hps"/>
          <w:rFonts w:cs="Times New Roman"/>
          <w:b/>
          <w:szCs w:val="24"/>
          <w:lang w:val="el-GR"/>
        </w:rPr>
        <w:t>Κ. Αθανασίου</w:t>
      </w:r>
      <w:r w:rsidRPr="006672B9">
        <w:rPr>
          <w:rStyle w:val="hps"/>
          <w:rFonts w:cs="Times New Roman"/>
          <w:b/>
          <w:szCs w:val="24"/>
          <w:vertAlign w:val="superscript"/>
          <w:lang w:val="el-GR"/>
        </w:rPr>
        <w:t>3</w:t>
      </w:r>
      <w:r w:rsidRPr="00DD550D">
        <w:rPr>
          <w:rStyle w:val="hps"/>
          <w:rFonts w:cs="Times New Roman"/>
          <w:b/>
          <w:szCs w:val="24"/>
          <w:lang w:val="el-GR"/>
        </w:rPr>
        <w:t>,</w:t>
      </w:r>
      <w:r>
        <w:rPr>
          <w:rStyle w:val="hps"/>
          <w:rFonts w:cs="Times New Roman"/>
          <w:b/>
          <w:szCs w:val="24"/>
          <w:lang w:val="el-GR"/>
        </w:rPr>
        <w:t xml:space="preserve"> Μ. </w:t>
      </w:r>
      <w:r w:rsidR="00D479FA" w:rsidRPr="00DD550D">
        <w:rPr>
          <w:rStyle w:val="hps"/>
          <w:rFonts w:cs="Times New Roman"/>
          <w:b/>
          <w:szCs w:val="24"/>
          <w:lang w:val="el-GR"/>
        </w:rPr>
        <w:t>Κονσολάκης</w:t>
      </w:r>
      <w:r w:rsidR="00D479FA" w:rsidRPr="00D479FA">
        <w:rPr>
          <w:rStyle w:val="hps"/>
          <w:rFonts w:cs="Times New Roman"/>
          <w:b/>
          <w:szCs w:val="24"/>
          <w:vertAlign w:val="superscript"/>
          <w:lang w:val="el-GR"/>
        </w:rPr>
        <w:t>2</w:t>
      </w:r>
      <w:r w:rsidRPr="00DD550D">
        <w:rPr>
          <w:rStyle w:val="hps"/>
          <w:rFonts w:cs="Times New Roman"/>
          <w:b/>
          <w:szCs w:val="24"/>
          <w:lang w:val="el-GR"/>
        </w:rPr>
        <w:t xml:space="preserve">, Γεώργιος Ε. </w:t>
      </w:r>
      <w:r w:rsidR="00D479FA" w:rsidRPr="00DD550D">
        <w:rPr>
          <w:rStyle w:val="hps"/>
          <w:rFonts w:cs="Times New Roman"/>
          <w:b/>
          <w:szCs w:val="24"/>
          <w:lang w:val="el-GR"/>
        </w:rPr>
        <w:t>Μαρνέλλος</w:t>
      </w:r>
      <w:r w:rsidR="00D479FA" w:rsidRPr="00D479FA">
        <w:rPr>
          <w:rStyle w:val="hps"/>
          <w:rFonts w:cs="Times New Roman"/>
          <w:b/>
          <w:szCs w:val="24"/>
          <w:vertAlign w:val="superscript"/>
          <w:lang w:val="el-GR"/>
        </w:rPr>
        <w:t>1</w:t>
      </w:r>
      <w:r w:rsidRPr="006672B9">
        <w:rPr>
          <w:rStyle w:val="hps"/>
          <w:rFonts w:cs="Times New Roman"/>
          <w:b/>
          <w:szCs w:val="24"/>
          <w:vertAlign w:val="superscript"/>
          <w:lang w:val="el-GR"/>
        </w:rPr>
        <w:t>,4</w:t>
      </w:r>
      <w:r w:rsidR="00DA5472" w:rsidRPr="006672B9">
        <w:rPr>
          <w:rStyle w:val="hps"/>
          <w:rFonts w:cs="Times New Roman"/>
          <w:b/>
          <w:szCs w:val="24"/>
          <w:vertAlign w:val="superscript"/>
          <w:lang w:val="el-GR"/>
        </w:rPr>
        <w:t xml:space="preserve"> </w:t>
      </w:r>
    </w:p>
    <w:p w14:paraId="4AB38754" w14:textId="4953C90F" w:rsidR="00C412B9" w:rsidRDefault="006672B9" w:rsidP="006672B9">
      <w:pPr>
        <w:spacing w:after="0" w:line="240" w:lineRule="auto"/>
        <w:jc w:val="center"/>
        <w:rPr>
          <w:rFonts w:ascii="Calibri" w:eastAsia="Calibri" w:hAnsi="Calibri" w:cs="Times New Roman"/>
          <w:color w:val="auto"/>
          <w:szCs w:val="24"/>
          <w:lang w:val="el-GR"/>
        </w:rPr>
      </w:pPr>
      <w:r w:rsidRPr="006672B9">
        <w:rPr>
          <w:rFonts w:ascii="Calibri" w:eastAsia="Calibri" w:hAnsi="Calibri" w:cs="Times New Roman"/>
          <w:color w:val="auto"/>
          <w:szCs w:val="24"/>
          <w:vertAlign w:val="superscript"/>
          <w:lang w:val="el-GR"/>
        </w:rPr>
        <w:t>1</w:t>
      </w:r>
      <w:r w:rsidR="00C412B9" w:rsidRPr="00C412B9">
        <w:rPr>
          <w:lang w:val="el-GR"/>
        </w:rPr>
        <w:t xml:space="preserve"> </w:t>
      </w:r>
      <w:r w:rsidR="00D479FA" w:rsidRPr="00D479FA">
        <w:rPr>
          <w:rFonts w:ascii="Calibri" w:eastAsia="Calibri" w:hAnsi="Calibri" w:cs="Times New Roman"/>
          <w:color w:val="auto"/>
          <w:szCs w:val="24"/>
          <w:lang w:val="el-GR"/>
        </w:rPr>
        <w:t>Τμήμα Μηχανολόγων Μηχανικών, Πανεπιστήμιο Δυτικής Μακεδονίας, Κοζάνη, Ελλάδα</w:t>
      </w:r>
    </w:p>
    <w:p w14:paraId="1A643D46" w14:textId="77777777" w:rsidR="00D479FA" w:rsidRDefault="006672B9" w:rsidP="006672B9">
      <w:pPr>
        <w:spacing w:after="0" w:line="240" w:lineRule="auto"/>
        <w:jc w:val="center"/>
        <w:rPr>
          <w:rFonts w:ascii="Calibri" w:eastAsia="Calibri" w:hAnsi="Calibri" w:cs="Times New Roman"/>
          <w:color w:val="auto"/>
          <w:szCs w:val="24"/>
          <w:lang w:val="el-GR"/>
        </w:rPr>
      </w:pPr>
      <w:r w:rsidRPr="006672B9">
        <w:rPr>
          <w:rFonts w:ascii="Calibri" w:eastAsia="Calibri" w:hAnsi="Calibri" w:cs="Times New Roman"/>
          <w:color w:val="auto"/>
          <w:szCs w:val="24"/>
          <w:vertAlign w:val="superscript"/>
          <w:lang w:val="el-GR"/>
        </w:rPr>
        <w:t>2</w:t>
      </w:r>
      <w:r w:rsidR="00D479FA" w:rsidRPr="00D479FA">
        <w:rPr>
          <w:lang w:val="el-GR"/>
        </w:rPr>
        <w:t xml:space="preserve"> </w:t>
      </w:r>
      <w:r w:rsidR="00D479FA" w:rsidRPr="00D479FA">
        <w:rPr>
          <w:rFonts w:ascii="Calibri" w:eastAsia="Calibri" w:hAnsi="Calibri" w:cs="Times New Roman"/>
          <w:color w:val="auto"/>
          <w:szCs w:val="24"/>
          <w:lang w:val="el-GR"/>
        </w:rPr>
        <w:t>Σχολή Μηχανικών Παραγωγής και Διοίκησης, Πολυτεχνείο Κρήτης, Χανιά, Ελλάδα</w:t>
      </w:r>
      <w:r w:rsidR="00D479FA" w:rsidRPr="00D479FA" w:rsidDel="00D479FA">
        <w:rPr>
          <w:rFonts w:ascii="Calibri" w:eastAsia="Calibri" w:hAnsi="Calibri" w:cs="Times New Roman"/>
          <w:color w:val="auto"/>
          <w:szCs w:val="24"/>
          <w:lang w:val="el-GR"/>
        </w:rPr>
        <w:t xml:space="preserve"> </w:t>
      </w:r>
    </w:p>
    <w:p w14:paraId="1F5AB15E" w14:textId="0FADD22A" w:rsidR="006672B9" w:rsidRPr="006672B9" w:rsidRDefault="006672B9" w:rsidP="006672B9">
      <w:pPr>
        <w:spacing w:after="0" w:line="240" w:lineRule="auto"/>
        <w:jc w:val="center"/>
        <w:rPr>
          <w:rFonts w:ascii="Calibri" w:eastAsia="Calibri" w:hAnsi="Calibri" w:cs="Times New Roman"/>
          <w:color w:val="auto"/>
          <w:szCs w:val="24"/>
          <w:lang w:val="el-GR"/>
        </w:rPr>
      </w:pPr>
      <w:r w:rsidRPr="006672B9">
        <w:rPr>
          <w:rFonts w:ascii="Calibri" w:eastAsia="Calibri" w:hAnsi="Calibri" w:cs="Times New Roman"/>
          <w:color w:val="auto"/>
          <w:szCs w:val="24"/>
          <w:vertAlign w:val="superscript"/>
          <w:lang w:val="el-GR"/>
        </w:rPr>
        <w:t>3</w:t>
      </w:r>
      <w:r w:rsidRPr="006672B9">
        <w:rPr>
          <w:rFonts w:ascii="Calibri" w:eastAsia="Calibri" w:hAnsi="Calibri" w:cs="Times New Roman"/>
          <w:color w:val="auto"/>
          <w:szCs w:val="24"/>
          <w:lang w:val="el-GR"/>
        </w:rPr>
        <w:t>Τμήμα Μηχανικών Περιβάλλοντος, Δημοκρίτειο Πανεπιστήμιο Θράκης, Ξάνθη, Ελλάδα</w:t>
      </w:r>
    </w:p>
    <w:p w14:paraId="134F3EFE" w14:textId="136C2748" w:rsidR="006672B9" w:rsidRPr="006672B9" w:rsidRDefault="006672B9" w:rsidP="006672B9">
      <w:pPr>
        <w:spacing w:after="0" w:line="240" w:lineRule="auto"/>
        <w:jc w:val="center"/>
        <w:rPr>
          <w:rFonts w:ascii="Calibri" w:eastAsia="Calibri" w:hAnsi="Calibri" w:cs="Times New Roman"/>
          <w:color w:val="auto"/>
          <w:szCs w:val="24"/>
          <w:lang w:val="el-GR"/>
        </w:rPr>
      </w:pPr>
      <w:r w:rsidRPr="006672B9">
        <w:rPr>
          <w:rFonts w:ascii="Calibri" w:eastAsia="Calibri" w:hAnsi="Calibri" w:cs="Times New Roman"/>
          <w:color w:val="auto"/>
          <w:szCs w:val="24"/>
          <w:vertAlign w:val="superscript"/>
          <w:lang w:val="el-GR"/>
        </w:rPr>
        <w:t>4</w:t>
      </w:r>
      <w:r w:rsidR="00C412B9" w:rsidRPr="00C412B9">
        <w:rPr>
          <w:lang w:val="el-GR"/>
        </w:rPr>
        <w:t xml:space="preserve"> </w:t>
      </w:r>
      <w:r w:rsidR="00C412B9" w:rsidRPr="00C412B9">
        <w:rPr>
          <w:rFonts w:ascii="Calibri" w:eastAsia="Calibri" w:hAnsi="Calibri" w:cs="Times New Roman"/>
          <w:color w:val="auto"/>
          <w:szCs w:val="24"/>
          <w:lang w:val="el-GR"/>
        </w:rPr>
        <w:t>Ινστιτούτο Διεργασιών &amp; Ενεργειακών Πόρων, ΕΚΕΤΑ, Θεσσαλονίκη, Ελλάδα</w:t>
      </w:r>
      <w:r w:rsidRPr="006672B9">
        <w:rPr>
          <w:rFonts w:ascii="Calibri" w:eastAsia="Calibri" w:hAnsi="Calibri" w:cs="Times New Roman"/>
          <w:color w:val="auto"/>
          <w:szCs w:val="24"/>
          <w:lang w:val="el-GR"/>
        </w:rPr>
        <w:t xml:space="preserve"> </w:t>
      </w:r>
    </w:p>
    <w:p w14:paraId="7D1D0008" w14:textId="0BA7DF2A" w:rsidR="002937B1" w:rsidRPr="006672B9" w:rsidRDefault="00257888" w:rsidP="00DA5472">
      <w:pPr>
        <w:pStyle w:val="ListParagraph"/>
        <w:spacing w:before="0" w:line="240" w:lineRule="auto"/>
        <w:ind w:left="0"/>
        <w:contextualSpacing w:val="0"/>
        <w:jc w:val="center"/>
        <w:rPr>
          <w:rFonts w:cs="Times New Roman"/>
          <w:i/>
          <w:szCs w:val="24"/>
        </w:rPr>
      </w:pPr>
      <w:r w:rsidRPr="00975C43">
        <w:rPr>
          <w:rFonts w:eastAsia="Times New Roman" w:cs="Times New Roman"/>
          <w:i/>
          <w:szCs w:val="24"/>
        </w:rPr>
        <w:t xml:space="preserve"> </w:t>
      </w:r>
      <w:r w:rsidR="002937B1" w:rsidRPr="004F1ED7">
        <w:rPr>
          <w:rFonts w:cs="Times New Roman"/>
          <w:i/>
          <w:szCs w:val="24"/>
        </w:rPr>
        <w:t>*</w:t>
      </w:r>
      <w:r w:rsidR="00C04EBD" w:rsidRPr="004F1ED7">
        <w:rPr>
          <w:rFonts w:cs="Times New Roman"/>
          <w:i/>
          <w:szCs w:val="24"/>
        </w:rPr>
        <w:t xml:space="preserve"> </w:t>
      </w:r>
      <w:proofErr w:type="spellStart"/>
      <w:r w:rsidR="006672B9">
        <w:rPr>
          <w:rFonts w:cs="Times New Roman"/>
          <w:i/>
          <w:szCs w:val="24"/>
          <w:lang w:val="en-US"/>
        </w:rPr>
        <w:t>alabropoulos</w:t>
      </w:r>
      <w:proofErr w:type="spellEnd"/>
      <w:r w:rsidR="006672B9" w:rsidRPr="004F1ED7">
        <w:rPr>
          <w:rFonts w:cs="Times New Roman"/>
          <w:i/>
          <w:szCs w:val="24"/>
        </w:rPr>
        <w:t>@</w:t>
      </w:r>
      <w:proofErr w:type="spellStart"/>
      <w:r w:rsidR="006672B9">
        <w:rPr>
          <w:rFonts w:cs="Times New Roman"/>
          <w:i/>
          <w:szCs w:val="24"/>
          <w:lang w:val="en-US"/>
        </w:rPr>
        <w:t>uowm</w:t>
      </w:r>
      <w:proofErr w:type="spellEnd"/>
      <w:r w:rsidR="006672B9" w:rsidRPr="004F1ED7">
        <w:rPr>
          <w:rFonts w:cs="Times New Roman"/>
          <w:i/>
          <w:szCs w:val="24"/>
        </w:rPr>
        <w:t>.</w:t>
      </w:r>
      <w:r w:rsidR="006672B9">
        <w:rPr>
          <w:rFonts w:cs="Times New Roman"/>
          <w:i/>
          <w:szCs w:val="24"/>
          <w:lang w:val="en-US"/>
        </w:rPr>
        <w:t>gr</w:t>
      </w:r>
    </w:p>
    <w:p w14:paraId="5C972B3D" w14:textId="77777777" w:rsidR="00257888" w:rsidRPr="004F1ED7" w:rsidRDefault="00257888" w:rsidP="002937B1">
      <w:pPr>
        <w:spacing w:after="120" w:line="240" w:lineRule="auto"/>
        <w:jc w:val="both"/>
        <w:rPr>
          <w:rStyle w:val="hps"/>
          <w:rFonts w:cs="Times New Roman"/>
          <w:b/>
          <w:szCs w:val="24"/>
          <w:lang w:val="el-GR"/>
        </w:rPr>
      </w:pPr>
    </w:p>
    <w:p w14:paraId="2E62B893" w14:textId="1A676A6D" w:rsidR="002937B1" w:rsidRPr="00DA5472" w:rsidRDefault="002937B1" w:rsidP="001327BE">
      <w:pPr>
        <w:spacing w:after="20" w:line="240" w:lineRule="auto"/>
        <w:jc w:val="both"/>
        <w:rPr>
          <w:rStyle w:val="hps"/>
          <w:rFonts w:cs="Times New Roman"/>
          <w:b/>
          <w:szCs w:val="24"/>
          <w:lang w:val="el-GR"/>
        </w:rPr>
      </w:pPr>
      <w:r w:rsidRPr="00C04EBD">
        <w:rPr>
          <w:rStyle w:val="hps"/>
          <w:rFonts w:cs="Times New Roman"/>
          <w:b/>
          <w:szCs w:val="24"/>
          <w:lang w:val="el-GR"/>
        </w:rPr>
        <w:t>ΠΕΡΙΛΗΨΗ</w:t>
      </w:r>
      <w:r w:rsidR="00DA5472" w:rsidRPr="00DA5472">
        <w:rPr>
          <w:rStyle w:val="hps"/>
          <w:rFonts w:cs="Times New Roman"/>
          <w:b/>
          <w:szCs w:val="24"/>
          <w:lang w:val="el-GR"/>
        </w:rPr>
        <w:t xml:space="preserve"> </w:t>
      </w:r>
    </w:p>
    <w:p w14:paraId="19D8F585" w14:textId="16B65741" w:rsidR="00E96DE8" w:rsidRDefault="00353B5D" w:rsidP="001327BE">
      <w:pPr>
        <w:spacing w:after="20" w:line="240" w:lineRule="auto"/>
        <w:jc w:val="both"/>
        <w:rPr>
          <w:rStyle w:val="hps"/>
          <w:rFonts w:cs="Times New Roman"/>
          <w:color w:val="auto"/>
          <w:szCs w:val="24"/>
          <w:lang w:val="el-GR"/>
        </w:rPr>
      </w:pPr>
      <w:r>
        <w:rPr>
          <w:rStyle w:val="hps"/>
          <w:rFonts w:cs="Times New Roman"/>
          <w:color w:val="auto"/>
          <w:szCs w:val="24"/>
          <w:lang w:val="el-GR"/>
        </w:rPr>
        <w:t>Η Πράσινη Συμφωνία</w:t>
      </w:r>
      <w:r w:rsidR="00912B9C">
        <w:rPr>
          <w:rStyle w:val="hps"/>
          <w:rFonts w:cs="Times New Roman"/>
          <w:color w:val="auto"/>
          <w:szCs w:val="24"/>
          <w:lang w:val="el-GR"/>
        </w:rPr>
        <w:t xml:space="preserve"> </w:t>
      </w:r>
      <w:r w:rsidR="005803D5">
        <w:rPr>
          <w:rStyle w:val="hps"/>
          <w:rFonts w:cs="Times New Roman"/>
          <w:color w:val="auto"/>
          <w:szCs w:val="24"/>
          <w:lang w:val="el-GR"/>
        </w:rPr>
        <w:t xml:space="preserve">της ΕΕ </w:t>
      </w:r>
      <w:r>
        <w:rPr>
          <w:rStyle w:val="hps"/>
          <w:rFonts w:cs="Times New Roman"/>
          <w:color w:val="auto"/>
          <w:szCs w:val="24"/>
          <w:lang w:val="el-GR"/>
        </w:rPr>
        <w:t>για να καταστήσει την Ευρώπη κλιματικά ουδέτερη το 2050, έχε</w:t>
      </w:r>
      <w:r w:rsidR="00FA6A15">
        <w:rPr>
          <w:rStyle w:val="hps"/>
          <w:rFonts w:cs="Times New Roman"/>
          <w:color w:val="auto"/>
          <w:szCs w:val="24"/>
          <w:lang w:val="el-GR"/>
        </w:rPr>
        <w:t>ι</w:t>
      </w:r>
      <w:r>
        <w:rPr>
          <w:rStyle w:val="hps"/>
          <w:rFonts w:cs="Times New Roman"/>
          <w:color w:val="auto"/>
          <w:szCs w:val="24"/>
          <w:lang w:val="el-GR"/>
        </w:rPr>
        <w:t xml:space="preserve"> θέσει ως προτεραιότητες την αύξηση του μεριδίου των ΑΠΕ στην ακαθάριστη κατανάλωση ενέργειας και την υιοθέτηση </w:t>
      </w:r>
      <w:r w:rsidR="00FA6A15">
        <w:rPr>
          <w:rStyle w:val="hps"/>
          <w:rFonts w:cs="Times New Roman"/>
          <w:color w:val="auto"/>
          <w:szCs w:val="24"/>
          <w:lang w:val="el-GR"/>
        </w:rPr>
        <w:t xml:space="preserve">των αρχών της κυκλικής οικονομίας μέσω </w:t>
      </w:r>
      <w:r>
        <w:rPr>
          <w:rStyle w:val="hps"/>
          <w:rFonts w:cs="Times New Roman"/>
          <w:color w:val="auto"/>
          <w:szCs w:val="24"/>
          <w:lang w:val="el-GR"/>
        </w:rPr>
        <w:t>καινοτόμων και αποδοτικών διεργασιών</w:t>
      </w:r>
      <w:r w:rsidR="006F429A" w:rsidRPr="006F429A">
        <w:rPr>
          <w:rStyle w:val="hps"/>
          <w:rFonts w:cs="Times New Roman"/>
          <w:color w:val="auto"/>
          <w:szCs w:val="24"/>
          <w:lang w:val="el-GR"/>
        </w:rPr>
        <w:t xml:space="preserve"> </w:t>
      </w:r>
      <w:r w:rsidR="006F429A">
        <w:rPr>
          <w:rStyle w:val="hps"/>
          <w:rFonts w:cs="Times New Roman"/>
          <w:color w:val="auto"/>
          <w:szCs w:val="24"/>
          <w:lang w:val="el-GR"/>
        </w:rPr>
        <w:fldChar w:fldCharType="begin" w:fldLock="1"/>
      </w:r>
      <w:r w:rsidR="006F429A">
        <w:rPr>
          <w:rStyle w:val="hps"/>
          <w:rFonts w:cs="Times New Roman"/>
          <w:color w:val="auto"/>
          <w:szCs w:val="24"/>
          <w:lang w:val="el-GR"/>
        </w:rPr>
        <w:instrText>ADDIN CSL_CITATION {"citationItems":[{"id":"ITEM-1","itemData":{"abstract":"The European Green Deal aims to make Europe climate neutral by 2050. To help meet this target, the EU has agreed to reduce its net greenhouse gas (GHG) emissions by at least 55% by 2030, compared to 1990 levels. This increased level of ambition requires action in all sectors of the economy. To achieve this, the European Commission’s latest Green Deal proposals recognise the importance of research and innovation, and of the Innovation Principle, in promoting smart, future-oriented policies and encouraging technological and social innovation.","author":[{"dropping-particle":"","family":"Directorate-General for Research and Innovation (European Commission)","given":"","non-dropping-particle":"","parse-names":false,"suffix":""}],"id":"ITEM-1","issue":"July 2021","issued":{"date-parts":[["2021"]]},"page":"3","title":"Europe’s 2030 climate and energy targets. Research &amp; innovation actions","type":"article-journal"},"uris":["http://www.mendeley.com/documents/?uuid=bf9957b6-eeae-45d7-aeac-22a470a46f94"]}],"mendeley":{"formattedCitation":"[1]","plainTextFormattedCitation":"[1]","previouslyFormattedCitation":"[1]"},"properties":{"noteIndex":0},"schema":"https://github.com/citation-style-language/schema/raw/master/csl-citation.json"}</w:instrText>
      </w:r>
      <w:r w:rsidR="006F429A">
        <w:rPr>
          <w:rStyle w:val="hps"/>
          <w:rFonts w:cs="Times New Roman"/>
          <w:color w:val="auto"/>
          <w:szCs w:val="24"/>
          <w:lang w:val="el-GR"/>
        </w:rPr>
        <w:fldChar w:fldCharType="separate"/>
      </w:r>
      <w:r w:rsidR="006F429A" w:rsidRPr="006F429A">
        <w:rPr>
          <w:rStyle w:val="hps"/>
          <w:rFonts w:cs="Times New Roman"/>
          <w:noProof/>
          <w:color w:val="auto"/>
          <w:szCs w:val="24"/>
          <w:lang w:val="el-GR"/>
        </w:rPr>
        <w:t>[1]</w:t>
      </w:r>
      <w:r w:rsidR="006F429A">
        <w:rPr>
          <w:rStyle w:val="hps"/>
          <w:rFonts w:cs="Times New Roman"/>
          <w:color w:val="auto"/>
          <w:szCs w:val="24"/>
          <w:lang w:val="el-GR"/>
        </w:rPr>
        <w:fldChar w:fldCharType="end"/>
      </w:r>
      <w:r>
        <w:rPr>
          <w:rStyle w:val="hps"/>
          <w:rFonts w:cs="Times New Roman"/>
          <w:color w:val="auto"/>
          <w:szCs w:val="24"/>
          <w:lang w:val="el-GR"/>
        </w:rPr>
        <w:t xml:space="preserve">. </w:t>
      </w:r>
      <w:r w:rsidR="00FA6A15" w:rsidRPr="00C025AA">
        <w:rPr>
          <w:rStyle w:val="hps"/>
          <w:rFonts w:cs="Times New Roman"/>
          <w:color w:val="auto"/>
          <w:szCs w:val="24"/>
          <w:lang w:val="el-GR"/>
        </w:rPr>
        <w:t xml:space="preserve">Η βιομάζα </w:t>
      </w:r>
      <w:r w:rsidR="00FA6A15">
        <w:rPr>
          <w:rStyle w:val="hps"/>
          <w:rFonts w:cs="Times New Roman"/>
          <w:color w:val="auto"/>
          <w:szCs w:val="24"/>
          <w:lang w:val="el-GR"/>
        </w:rPr>
        <w:t>αποτελεί</w:t>
      </w:r>
      <w:r w:rsidR="00FA6A15" w:rsidRPr="00C025AA">
        <w:rPr>
          <w:rStyle w:val="hps"/>
          <w:rFonts w:cs="Times New Roman"/>
          <w:color w:val="auto"/>
          <w:szCs w:val="24"/>
          <w:lang w:val="el-GR"/>
        </w:rPr>
        <w:t xml:space="preserve"> μ</w:t>
      </w:r>
      <w:r w:rsidR="00FA6A15">
        <w:rPr>
          <w:rStyle w:val="hps"/>
          <w:rFonts w:cs="Times New Roman"/>
          <w:color w:val="auto"/>
          <w:szCs w:val="24"/>
          <w:lang w:val="el-GR"/>
        </w:rPr>
        <w:t>ί</w:t>
      </w:r>
      <w:r w:rsidR="00FA6A15" w:rsidRPr="00C025AA">
        <w:rPr>
          <w:rStyle w:val="hps"/>
          <w:rFonts w:cs="Times New Roman"/>
          <w:color w:val="auto"/>
          <w:szCs w:val="24"/>
          <w:lang w:val="el-GR"/>
        </w:rPr>
        <w:t xml:space="preserve">α φθηνή και ευρέως </w:t>
      </w:r>
      <w:r w:rsidR="00FA6A15">
        <w:rPr>
          <w:rStyle w:val="hps"/>
          <w:rFonts w:cs="Times New Roman"/>
          <w:color w:val="auto"/>
          <w:szCs w:val="24"/>
          <w:lang w:val="el-GR"/>
        </w:rPr>
        <w:t xml:space="preserve">διαθέσιμη ενδογενής </w:t>
      </w:r>
      <w:r w:rsidR="00FA6A15" w:rsidRPr="00C025AA">
        <w:rPr>
          <w:rStyle w:val="hps"/>
          <w:rFonts w:cs="Times New Roman"/>
          <w:color w:val="auto"/>
          <w:szCs w:val="24"/>
          <w:lang w:val="el-GR"/>
        </w:rPr>
        <w:t xml:space="preserve">ανανεώσιμη </w:t>
      </w:r>
      <w:r w:rsidR="005803D5">
        <w:rPr>
          <w:rStyle w:val="hps"/>
          <w:rFonts w:cs="Times New Roman"/>
          <w:color w:val="auto"/>
          <w:szCs w:val="24"/>
          <w:lang w:val="el-GR"/>
        </w:rPr>
        <w:t>μορφή</w:t>
      </w:r>
      <w:r w:rsidR="00FA6A15" w:rsidRPr="00C025AA">
        <w:rPr>
          <w:rStyle w:val="hps"/>
          <w:rFonts w:cs="Times New Roman"/>
          <w:color w:val="auto"/>
          <w:szCs w:val="24"/>
          <w:lang w:val="el-GR"/>
        </w:rPr>
        <w:t xml:space="preserve"> ενέργειας</w:t>
      </w:r>
      <w:r w:rsidR="00FA6A15">
        <w:rPr>
          <w:rStyle w:val="hps"/>
          <w:rFonts w:cs="Times New Roman"/>
          <w:color w:val="auto"/>
          <w:szCs w:val="24"/>
          <w:lang w:val="el-GR"/>
        </w:rPr>
        <w:t xml:space="preserve">, όπου </w:t>
      </w:r>
      <w:r w:rsidR="00A25103">
        <w:rPr>
          <w:rStyle w:val="hps"/>
          <w:rFonts w:cs="Times New Roman"/>
          <w:color w:val="auto"/>
          <w:szCs w:val="24"/>
          <w:lang w:val="el-GR"/>
        </w:rPr>
        <w:t>ο</w:t>
      </w:r>
      <w:r w:rsidR="00FA6A15">
        <w:rPr>
          <w:rStyle w:val="hps"/>
          <w:rFonts w:cs="Times New Roman"/>
          <w:color w:val="auto"/>
          <w:szCs w:val="24"/>
          <w:lang w:val="el-GR"/>
        </w:rPr>
        <w:t xml:space="preserve"> αδι</w:t>
      </w:r>
      <w:r w:rsidR="00A25103">
        <w:rPr>
          <w:rStyle w:val="hps"/>
          <w:rFonts w:cs="Times New Roman"/>
          <w:color w:val="auto"/>
          <w:szCs w:val="24"/>
          <w:lang w:val="el-GR"/>
        </w:rPr>
        <w:t>άλειπτος</w:t>
      </w:r>
      <w:r w:rsidR="00FA6A15">
        <w:rPr>
          <w:rStyle w:val="hps"/>
          <w:rFonts w:cs="Times New Roman"/>
          <w:color w:val="auto"/>
          <w:szCs w:val="24"/>
          <w:lang w:val="el-GR"/>
        </w:rPr>
        <w:t xml:space="preserve"> </w:t>
      </w:r>
      <w:r w:rsidR="00A25103">
        <w:rPr>
          <w:rStyle w:val="hps"/>
          <w:rFonts w:cs="Times New Roman"/>
          <w:color w:val="auto"/>
          <w:szCs w:val="24"/>
          <w:lang w:val="el-GR"/>
        </w:rPr>
        <w:t>χαρακτήρας</w:t>
      </w:r>
      <w:r w:rsidR="00FA6A15">
        <w:rPr>
          <w:rStyle w:val="hps"/>
          <w:rFonts w:cs="Times New Roman"/>
          <w:color w:val="auto"/>
          <w:szCs w:val="24"/>
          <w:lang w:val="el-GR"/>
        </w:rPr>
        <w:t xml:space="preserve"> της δεν απαιτεί υποδομές αποθήκευσης της ενέργειας για την αξιοποίηση της.</w:t>
      </w:r>
      <w:r w:rsidR="00FA6A15" w:rsidRPr="00C025AA">
        <w:rPr>
          <w:rStyle w:val="hps"/>
          <w:rFonts w:cs="Times New Roman"/>
          <w:color w:val="auto"/>
          <w:szCs w:val="24"/>
          <w:lang w:val="el-GR"/>
        </w:rPr>
        <w:t xml:space="preserve"> Η Ελλάδα διαθέτει υψηλό δυναμικό βιομάζας (3.5-5 Mtoe), με τα </w:t>
      </w:r>
      <w:r w:rsidR="005803D5">
        <w:rPr>
          <w:rStyle w:val="hps"/>
          <w:rFonts w:cs="Times New Roman"/>
          <w:color w:val="auto"/>
          <w:szCs w:val="24"/>
          <w:lang w:val="el-GR"/>
        </w:rPr>
        <w:t>αγρο-βιομηχανικά</w:t>
      </w:r>
      <w:r w:rsidR="00FA6A15" w:rsidRPr="00C025AA">
        <w:rPr>
          <w:rStyle w:val="hps"/>
          <w:rFonts w:cs="Times New Roman"/>
          <w:color w:val="auto"/>
          <w:szCs w:val="24"/>
          <w:lang w:val="el-GR"/>
        </w:rPr>
        <w:t xml:space="preserve"> υπολείμματα να </w:t>
      </w:r>
      <w:r w:rsidR="00E96DE8">
        <w:rPr>
          <w:rStyle w:val="hps"/>
          <w:rFonts w:cs="Times New Roman"/>
          <w:color w:val="auto"/>
          <w:szCs w:val="24"/>
          <w:lang w:val="el-GR"/>
        </w:rPr>
        <w:t>αποτελούν το 70% του διαθέσιμου δυναμικού</w:t>
      </w:r>
      <w:r w:rsidR="00FA6A15" w:rsidRPr="00C025AA">
        <w:rPr>
          <w:rStyle w:val="hps"/>
          <w:rFonts w:cs="Times New Roman"/>
          <w:color w:val="auto"/>
          <w:szCs w:val="24"/>
          <w:lang w:val="el-GR"/>
        </w:rPr>
        <w:t xml:space="preserve"> </w:t>
      </w:r>
      <w:r w:rsidR="00FA6A15" w:rsidRPr="00C025AA">
        <w:rPr>
          <w:rStyle w:val="hps"/>
          <w:rFonts w:cs="Times New Roman"/>
          <w:color w:val="auto"/>
          <w:szCs w:val="24"/>
          <w:lang w:val="el-GR"/>
        </w:rPr>
        <w:fldChar w:fldCharType="begin" w:fldLock="1"/>
      </w:r>
      <w:r w:rsidR="00FA6A15" w:rsidRPr="00C025AA">
        <w:rPr>
          <w:rStyle w:val="hps"/>
          <w:rFonts w:cs="Times New Roman"/>
          <w:color w:val="auto"/>
          <w:szCs w:val="24"/>
          <w:lang w:val="el-GR"/>
        </w:rPr>
        <w:instrText>ADDIN CSL_CITATION {"citationItems":[{"id":"ITEM-1","itemData":{"DOI":"10.3390/en12061095","ISSN":"19961073","abstract":"The alignment of the Greek national legislation with the corresponding EU legislation has enhanced the national efforts to pursue renewable Combined Heat and Power (CHP) projects. The scope of the present study has been the identification of the available biomass resources and the assessment of their potential. In this paper, we present the results from the administrative regions of Crete, Thessaly, and Peloponnese. The levels of lignocellulosic biomass in Greece are estimated to be 2,132,286 tonnes on an annual basis, values that are very close to the cases of other Mediterranean countries like Italy and Portugal. In respect to the total agricultural residues, Crete produces 1,959,124 tonnes/year and Thessaly produces 1,759,457 tonnes/year. The most significant streams are identified to be olive pits, olive pruning, and cotton ginning remnants, with more than 100,000 tonnes/year each. In the latter part of this manuscript, a case study is presented for the development of a CHP gasification facility in Messenia. The biomass energy potential of the area is very promising, with about 3,800,000 GJ/year. The proposed small-scale gasification technology is expected to utilize 7956 tonnes of biomass per year and to produce 6630 MWh of electricity and 8580 MWh of thermal energy.","author":[{"dropping-particle":"","family":"Alatzas","given":"Spyridon","non-dropping-particle":"","parse-names":false,"suffix":""},{"dropping-particle":"","family":"Moustakas","given":"Konstantinos","non-dropping-particle":"","parse-names":false,"suffix":""},{"dropping-particle":"","family":"Malamis","given":"Dimitrios","non-dropping-particle":"","parse-names":false,"suffix":""},{"dropping-particle":"","family":"Vakalis","given":"Stergios","non-dropping-particle":"","parse-names":false,"suffix":""}],"container-title":"Energies","id":"ITEM-1","issue":"6","issued":{"date-parts":[["2019"]]},"title":"Biomass potential from agricultural waste for energetic utilization in Greece","type":"article-journal","volume":"12"},"uris":["http://www.mendeley.com/documents/?uuid=96ee3d59-9b56-42ae-93f1-cad36795f3ee"]},{"id":"ITEM-2","itemData":{"DOI":"10.24018/ejgeo.2020.1.6.88","abstract":"Use of renewable energies in rural areas in the island of Crete, Greece has been investigated. Crete has rich indigenous renewable energy resources which are currently utilized for covering part of its energy requirements. Various renewable energy technologies used for heat and electricity generation in the island have been examined. Solar energy, wind energy, hydro power, biomass, and low enthalpy geothermal energy are already used. The total installed electric power of renewable energies in Crete, located mostly in rural areas, is approximately at 30% of the total electric power installed. They currently generate more than 20% of the island’s annual electricity needs. More renewable energy applications are foreseen in the future in rural areas in Crete as soon as its electric grid will be interconnected with the country’s continental grid. New renewable energy technologies, which are not currently used, could generate in the future heat, cooling, electricity, and vehicle’s fuels in the island. Their use will have positive impacts including the promotion of energy investments, lower use of imported and polluting fossil fuels, de-carbonization of the island’s energy sector as well as creation of new local jobs. It is indicated that the rich renewable energy resources in Crete could provide almost all of its annual energy needs. This will result in Crete’s transformation to a low or zero carbon economy in accordance with EU targets for zero carbon emissions in the next decades complying with the global goal for climate change mitigation.","author":[{"dropping-particle":"","family":"Vourdoubas","given":"John","non-dropping-particle":"","parse-names":false,"suffix":""}],"container-title":"European Journal of Environment and Earth Sciences","id":"ITEM-2","issue":"6","issued":{"date-parts":[["2020"]]},"page":"1-7","title":"Use of Renewable Energy Sources for Energy Generation in Rural Areas in the Island of Crete, Greece","type":"article-journal","volume":"1"},"uris":["http://www.mendeley.com/documents/?uuid=13060403-797c-4a15-9c65-87d5055a9987"]},{"id":"ITEM-3","itemData":{"DOI":"10.4236/ojee.2017.63008","ISSN":"2169-2637","abstract":"A description and assessment of a small renewable energy community located in Crete, Greece is presented. The community included private residential and agricultural activities without any involvement of the public sector. Small-scale decentralized energy systems were used. Solar energy and solid biomass which are locally available covered most of the heat and electricity requirements in the community. Renewable energy technologies used include solar thermal energy, solar-PV and solid biomass burning utilizing olive tree wood and olive kernel wood. These technologies are mature, reliable, well proven in Crete and cost-effective. Existing energy systems were generating 857,877 kWh per year covering 94.46% of the current energy requirements in the community, significantly reducing its emissions at 278,494 kg CO2 per year. The addition of a new solar-PV system with nominal power of 33.6 kWp could cover all the remaining electricity needs in the community, transforming it to a zero-CO2 emission community due to energy use. The total installation cost of the existing renewable energy systems in the community was estimated at 0.16€ per total kWh of thermal and electric energy generated annually and at 0.50€ per ton of CO2 emissions saved annually. Results indicated that the creation of the above-mentioned small local energy community is economically viable, environmental friendly and socially accepted. Therefore it could be replicated in other territories with similar availability of renewable energies, increasing their energy autonomy and sustainability.","author":[{"dropping-particle":"","family":"Vourdoubas","given":"John","non-dropping-particle":"","parse-names":false,"suffix":""}],"container-title":"Open Journal of Energy Efficiency","id":"ITEM-3","issue":"03","issued":{"date-parts":[["2017"]]},"page":"97-111","title":"Description and Assessment of a Small Renewable Energy Community in the Island of Crete, Greece","type":"article-journal","volume":"06"},"uris":["http://www.mendeley.com/documents/?uuid=7179779d-dff9-4448-b385-879a67443b8c"]}],"mendeley":{"formattedCitation":"[2–4]","plainTextFormattedCitation":"[2–4]","previouslyFormattedCitation":"[2–4]"},"properties":{"noteIndex":0},"schema":"https://github.com/citation-style-language/schema/raw/master/csl-citation.json"}</w:instrText>
      </w:r>
      <w:r w:rsidR="00FA6A15" w:rsidRPr="00C025AA">
        <w:rPr>
          <w:rStyle w:val="hps"/>
          <w:rFonts w:cs="Times New Roman"/>
          <w:color w:val="auto"/>
          <w:szCs w:val="24"/>
          <w:lang w:val="el-GR"/>
        </w:rPr>
        <w:fldChar w:fldCharType="separate"/>
      </w:r>
      <w:r w:rsidR="00FA6A15" w:rsidRPr="00C025AA">
        <w:rPr>
          <w:rStyle w:val="hps"/>
          <w:rFonts w:cs="Times New Roman"/>
          <w:noProof/>
          <w:color w:val="auto"/>
          <w:szCs w:val="24"/>
          <w:lang w:val="el-GR"/>
        </w:rPr>
        <w:t>[2–4]</w:t>
      </w:r>
      <w:r w:rsidR="00FA6A15" w:rsidRPr="00C025AA">
        <w:rPr>
          <w:rStyle w:val="hps"/>
          <w:rFonts w:cs="Times New Roman"/>
          <w:color w:val="auto"/>
          <w:szCs w:val="24"/>
          <w:lang w:val="el-GR"/>
        </w:rPr>
        <w:fldChar w:fldCharType="end"/>
      </w:r>
      <w:r w:rsidR="00FA6A15" w:rsidRPr="00C025AA">
        <w:rPr>
          <w:rStyle w:val="hps"/>
          <w:rFonts w:cs="Times New Roman"/>
          <w:color w:val="auto"/>
          <w:szCs w:val="24"/>
          <w:lang w:val="el-GR"/>
        </w:rPr>
        <w:t xml:space="preserve">. </w:t>
      </w:r>
      <w:r w:rsidR="00E96DE8">
        <w:rPr>
          <w:rStyle w:val="hps"/>
          <w:rFonts w:cs="Times New Roman"/>
          <w:color w:val="auto"/>
          <w:szCs w:val="24"/>
          <w:lang w:val="el-GR"/>
        </w:rPr>
        <w:t>Συγκεκριμένα, ο</w:t>
      </w:r>
      <w:r w:rsidR="00FA6A15" w:rsidRPr="00C025AA">
        <w:rPr>
          <w:rStyle w:val="hps"/>
          <w:rFonts w:cs="Times New Roman"/>
          <w:color w:val="auto"/>
          <w:szCs w:val="24"/>
          <w:lang w:val="el-GR"/>
        </w:rPr>
        <w:t xml:space="preserve"> ελαιοπυρήνας </w:t>
      </w:r>
      <w:r w:rsidR="005803D5">
        <w:rPr>
          <w:rStyle w:val="hps"/>
          <w:rFonts w:cs="Times New Roman"/>
          <w:color w:val="auto"/>
          <w:szCs w:val="24"/>
          <w:lang w:val="el-GR"/>
        </w:rPr>
        <w:t>και</w:t>
      </w:r>
      <w:r w:rsidR="00FA6A15" w:rsidRPr="00C025AA">
        <w:rPr>
          <w:rStyle w:val="hps"/>
          <w:rFonts w:cs="Times New Roman"/>
          <w:color w:val="auto"/>
          <w:szCs w:val="24"/>
          <w:lang w:val="el-GR"/>
        </w:rPr>
        <w:t xml:space="preserve"> τα κλαδέματα ελιάς </w:t>
      </w:r>
      <w:r w:rsidR="00E96DE8">
        <w:rPr>
          <w:rStyle w:val="hps"/>
          <w:rFonts w:cs="Times New Roman"/>
          <w:color w:val="auto"/>
          <w:szCs w:val="24"/>
          <w:lang w:val="el-GR"/>
        </w:rPr>
        <w:t>αναλογούν στο</w:t>
      </w:r>
      <w:r w:rsidR="00FA6A15" w:rsidRPr="00C025AA">
        <w:rPr>
          <w:rStyle w:val="hps"/>
          <w:rFonts w:cs="Times New Roman"/>
          <w:color w:val="auto"/>
          <w:szCs w:val="24"/>
          <w:lang w:val="el-GR"/>
        </w:rPr>
        <w:t xml:space="preserve"> 20% του τεχνικά απολήψιμου δυναμικού αγροτικών υπολειμμάτων</w:t>
      </w:r>
      <w:r w:rsidR="00E96DE8">
        <w:rPr>
          <w:rStyle w:val="hps"/>
          <w:rFonts w:cs="Times New Roman"/>
          <w:color w:val="auto"/>
          <w:szCs w:val="24"/>
          <w:lang w:val="el-GR"/>
        </w:rPr>
        <w:t xml:space="preserve"> στην Ελλάδα, καθιστώντας ιδιαίτερα </w:t>
      </w:r>
      <w:r w:rsidR="005803D5">
        <w:rPr>
          <w:rStyle w:val="hps"/>
          <w:rFonts w:cs="Times New Roman"/>
          <w:color w:val="auto"/>
          <w:szCs w:val="24"/>
          <w:lang w:val="el-GR"/>
        </w:rPr>
        <w:t xml:space="preserve">ενδιαφέρουσα και </w:t>
      </w:r>
      <w:r w:rsidR="00E96DE8">
        <w:rPr>
          <w:rStyle w:val="hps"/>
          <w:rFonts w:cs="Times New Roman"/>
          <w:color w:val="auto"/>
          <w:szCs w:val="24"/>
          <w:lang w:val="el-GR"/>
        </w:rPr>
        <w:t>επωφελή την αξιοποίησή τους προς παραγωγή ηλεκτρικής/θερμικής ισχύος, περιβαλλοντικά φιλικών καυσίμων και χημικών προϊόντων υψηλής προστιθέμενης αξίας</w:t>
      </w:r>
      <w:r w:rsidR="007225B1" w:rsidRPr="00196DF7">
        <w:rPr>
          <w:rStyle w:val="hps"/>
          <w:rFonts w:cs="Times New Roman"/>
          <w:color w:val="auto"/>
          <w:szCs w:val="24"/>
          <w:lang w:val="el-GR"/>
        </w:rPr>
        <w:t xml:space="preserve"> </w:t>
      </w:r>
      <w:r w:rsidR="007225B1">
        <w:rPr>
          <w:rStyle w:val="hps"/>
          <w:rFonts w:cs="Times New Roman"/>
          <w:color w:val="auto"/>
          <w:szCs w:val="24"/>
          <w:lang w:val="el-GR"/>
        </w:rPr>
        <w:t>στο πλαίσιο της κυκλικής αειφορίας</w:t>
      </w:r>
      <w:r w:rsidR="006F429A" w:rsidRPr="006F429A">
        <w:rPr>
          <w:rStyle w:val="hps"/>
          <w:rFonts w:cs="Times New Roman"/>
          <w:color w:val="auto"/>
          <w:szCs w:val="24"/>
          <w:lang w:val="el-GR"/>
        </w:rPr>
        <w:t xml:space="preserve"> </w:t>
      </w:r>
      <w:r w:rsidR="006F429A">
        <w:rPr>
          <w:rStyle w:val="hps"/>
          <w:rFonts w:cs="Times New Roman"/>
          <w:color w:val="auto"/>
          <w:szCs w:val="24"/>
          <w:lang w:val="el-GR"/>
        </w:rPr>
        <w:fldChar w:fldCharType="begin" w:fldLock="1"/>
      </w:r>
      <w:r w:rsidR="006F429A">
        <w:rPr>
          <w:rStyle w:val="hps"/>
          <w:rFonts w:cs="Times New Roman"/>
          <w:color w:val="auto"/>
          <w:szCs w:val="24"/>
          <w:lang w:val="el-GR"/>
        </w:rPr>
        <w:instrText>ADDIN CSL_CITATION {"citationItems":[{"id":"ITEM-1","itemData":{"DOI":"10.1016/j.ijhydene.2020.11.230","ISSN":"03603199","abstract":"The thermochemical conversion of biomass through its gasification has been widely explored during the last decades. The generated bio-syngas mixture can be directly used as fuel in thermal engines and fuel cells or as intermediate building block to produce synthetic liquid fuels and/or value added chemicals at large scales. In the present work, the effect of Greek olive kernel (OK) thermal treatment (torrefaction at 300 °C vs. slow pyrolysis at 500 and 800 °C) on the physicochemical characteristics and CO2 or H2O gasification performance of as-produced biochars is examined. Both the pristine OK sample and biochars (OK300, OK500, OK800) were fully characterized by employing a variety of physicochemical methods. The results clearly revealed the beneficial effect of thermal pretreatment on the gasification performance of as-prepared biochars. Α close relationship between the physicochemical properties of fuel samples and gas production was disclosed. Carbon dioxide gasification leads mainly to CO with minor amounts of H2 and CH4, whereas steam gasification results in a mixture containing CO2, CO, H2 and CH4 with a H2/CO ratio varied between 1.3 and 2.3. The optimum gasification performance was obtained for the slowly pyrolyzed samples (OK500 and OK800), due to their higher carbon and ash content as well as to their higher porosity and less ordered structure compared to pristine (OK) and torrefied (OK300) samples.","author":[{"dropping-particle":"","family":"Lampropoulos","given":"Athanasios","non-dropping-particle":"","parse-names":false,"suffix":""},{"dropping-particle":"","family":"Kaklidis","given":"Nikolaos","non-dropping-particle":"","parse-names":false,"suffix":""},{"dropping-particle":"","family":"Athanasiou","given":"Costas","non-dropping-particle":"","parse-names":false,"suffix":""},{"dropping-particle":"","family":"Montes-Morán","given":"Miguel A.","non-dropping-particle":"","parse-names":false,"suffix":""},{"dropping-particle":"","family":"Arenillas","given":"Ana","non-dropping-particle":"","parse-names":false,"suffix":""},{"dropping-particle":"","family":"Menéndez","given":"J. Angel","non-dropping-particle":"","parse-names":false,"suffix":""},{"dropping-particle":"","family":"Binas","given":"Vassilios D.","non-dropping-particle":"","parse-names":false,"suffix":""},{"dropping-particle":"","family":"Konsolakis","given":"Michalis","non-dropping-particle":"","parse-names":false,"suffix":""},{"dropping-particle":"","family":"Marnellos","given":"George E.","non-dropping-particle":"","parse-names":false,"suffix":""}],"container-title":"International Journal of Hydrogen Energy","id":"ITEM-1","issue":"xxxx","issued":{"date-parts":[["2020"]]},"title":"Effect of Olive Kernel thermal treatment (torrefaction vs. slow pyrolysis) on the physicochemical characteristics and the CO2 or H2O gasification performance of as-prepared biochars","type":"article-journal"},"uris":["http://www.mendeley.com/documents/?uuid=038785c2-6e81-4241-9702-7c8ee45bd9fb"]}],"mendeley":{"formattedCitation":"[5]","plainTextFormattedCitation":"[5]"},"properties":{"noteIndex":0},"schema":"https://github.com/citation-style-language/schema/raw/master/csl-citation.json"}</w:instrText>
      </w:r>
      <w:r w:rsidR="006F429A">
        <w:rPr>
          <w:rStyle w:val="hps"/>
          <w:rFonts w:cs="Times New Roman"/>
          <w:color w:val="auto"/>
          <w:szCs w:val="24"/>
          <w:lang w:val="el-GR"/>
        </w:rPr>
        <w:fldChar w:fldCharType="separate"/>
      </w:r>
      <w:r w:rsidR="006F429A" w:rsidRPr="006F429A">
        <w:rPr>
          <w:rStyle w:val="hps"/>
          <w:rFonts w:cs="Times New Roman"/>
          <w:noProof/>
          <w:color w:val="auto"/>
          <w:szCs w:val="24"/>
          <w:lang w:val="el-GR"/>
        </w:rPr>
        <w:t>[5]</w:t>
      </w:r>
      <w:r w:rsidR="006F429A">
        <w:rPr>
          <w:rStyle w:val="hps"/>
          <w:rFonts w:cs="Times New Roman"/>
          <w:color w:val="auto"/>
          <w:szCs w:val="24"/>
          <w:lang w:val="el-GR"/>
        </w:rPr>
        <w:fldChar w:fldCharType="end"/>
      </w:r>
      <w:r w:rsidR="00E96DE8">
        <w:rPr>
          <w:rStyle w:val="hps"/>
          <w:rFonts w:cs="Times New Roman"/>
          <w:color w:val="auto"/>
          <w:szCs w:val="24"/>
          <w:lang w:val="el-GR"/>
        </w:rPr>
        <w:t>.</w:t>
      </w:r>
    </w:p>
    <w:p w14:paraId="3F763BC2" w14:textId="77777777" w:rsidR="009000E6" w:rsidRDefault="009000E6" w:rsidP="00C54786">
      <w:pPr>
        <w:spacing w:after="20" w:line="240" w:lineRule="auto"/>
        <w:jc w:val="both"/>
        <w:rPr>
          <w:rStyle w:val="hps"/>
          <w:rFonts w:cs="Times New Roman"/>
          <w:color w:val="auto"/>
          <w:szCs w:val="24"/>
          <w:lang w:val="el-GR"/>
        </w:rPr>
      </w:pPr>
    </w:p>
    <w:p w14:paraId="59D5627D" w14:textId="6B88EB8B" w:rsidR="00C5607A" w:rsidRPr="00C025AA" w:rsidRDefault="00DA697F" w:rsidP="00C54786">
      <w:pPr>
        <w:spacing w:after="20" w:line="240" w:lineRule="auto"/>
        <w:jc w:val="both"/>
        <w:rPr>
          <w:rStyle w:val="hps"/>
          <w:rFonts w:cs="Times New Roman"/>
          <w:color w:val="auto"/>
          <w:szCs w:val="24"/>
          <w:lang w:val="el-GR"/>
        </w:rPr>
      </w:pPr>
      <w:r w:rsidRPr="00C025AA">
        <w:rPr>
          <w:rStyle w:val="hps"/>
          <w:rFonts w:cs="Times New Roman"/>
          <w:color w:val="auto"/>
          <w:szCs w:val="24"/>
          <w:lang w:val="el-GR"/>
        </w:rPr>
        <w:t>Στόχος</w:t>
      </w:r>
      <w:r w:rsidR="00C5607A" w:rsidRPr="00C025AA">
        <w:rPr>
          <w:rStyle w:val="hps"/>
          <w:rFonts w:cs="Times New Roman"/>
          <w:color w:val="auto"/>
          <w:szCs w:val="24"/>
          <w:lang w:val="el-GR"/>
        </w:rPr>
        <w:t xml:space="preserve"> της εργασίας είναι </w:t>
      </w:r>
      <w:r w:rsidR="00A25103">
        <w:rPr>
          <w:rStyle w:val="hps"/>
          <w:rFonts w:cs="Times New Roman"/>
          <w:color w:val="auto"/>
          <w:szCs w:val="24"/>
          <w:lang w:val="el-GR"/>
        </w:rPr>
        <w:t xml:space="preserve">ο σχεδιασμός </w:t>
      </w:r>
      <w:r w:rsidR="005241E6">
        <w:rPr>
          <w:rStyle w:val="hps"/>
          <w:rFonts w:cs="Times New Roman"/>
          <w:color w:val="auto"/>
          <w:szCs w:val="24"/>
          <w:lang w:val="el-GR"/>
        </w:rPr>
        <w:t xml:space="preserve">και η θερμική ολοκλήρωση </w:t>
      </w:r>
      <w:r w:rsidR="00A25103">
        <w:rPr>
          <w:rStyle w:val="hps"/>
          <w:rFonts w:cs="Times New Roman"/>
          <w:color w:val="auto"/>
          <w:szCs w:val="24"/>
          <w:lang w:val="el-GR"/>
        </w:rPr>
        <w:t xml:space="preserve">μίας συνδυασμένης διεργασίας </w:t>
      </w:r>
      <w:r w:rsidR="005241E6">
        <w:rPr>
          <w:rStyle w:val="hps"/>
          <w:rFonts w:cs="Times New Roman"/>
          <w:color w:val="auto"/>
          <w:szCs w:val="24"/>
          <w:lang w:val="el-GR"/>
        </w:rPr>
        <w:t xml:space="preserve">αξιοποίησης ελαιοπυρήνα </w:t>
      </w:r>
      <w:r w:rsidR="005803D5">
        <w:rPr>
          <w:rStyle w:val="hps"/>
          <w:rFonts w:cs="Times New Roman"/>
          <w:color w:val="auto"/>
          <w:szCs w:val="24"/>
          <w:lang w:val="el-GR"/>
        </w:rPr>
        <w:t>(</w:t>
      </w:r>
      <w:r w:rsidR="00CF5148" w:rsidRPr="006531A6">
        <w:rPr>
          <w:rStyle w:val="hps"/>
          <w:rFonts w:cs="Times New Roman"/>
          <w:color w:val="auto"/>
          <w:szCs w:val="24"/>
          <w:lang w:val="el-GR"/>
        </w:rPr>
        <w:t>833</w:t>
      </w:r>
      <w:r w:rsidR="00CF5148">
        <w:rPr>
          <w:rStyle w:val="hps"/>
          <w:rFonts w:cs="Times New Roman"/>
          <w:color w:val="auto"/>
          <w:szCs w:val="24"/>
          <w:lang w:val="el-GR"/>
        </w:rPr>
        <w:t xml:space="preserve"> </w:t>
      </w:r>
      <w:r w:rsidR="00CF5148">
        <w:rPr>
          <w:rStyle w:val="hps"/>
          <w:rFonts w:cs="Times New Roman"/>
          <w:color w:val="auto"/>
          <w:szCs w:val="24"/>
          <w:lang w:val="en-US"/>
        </w:rPr>
        <w:t>kg</w:t>
      </w:r>
      <w:r w:rsidR="005241E6" w:rsidRPr="005241E6">
        <w:rPr>
          <w:rStyle w:val="hps"/>
          <w:rFonts w:cs="Times New Roman"/>
          <w:color w:val="auto"/>
          <w:szCs w:val="24"/>
          <w:lang w:val="el-GR"/>
        </w:rPr>
        <w:t>/</w:t>
      </w:r>
      <w:r w:rsidR="005241E6">
        <w:rPr>
          <w:rStyle w:val="hps"/>
          <w:rFonts w:cs="Times New Roman"/>
          <w:color w:val="auto"/>
          <w:szCs w:val="24"/>
          <w:lang w:val="en-US"/>
        </w:rPr>
        <w:t>day</w:t>
      </w:r>
      <w:r w:rsidR="005803D5">
        <w:rPr>
          <w:rStyle w:val="hps"/>
          <w:rFonts w:cs="Times New Roman"/>
          <w:color w:val="auto"/>
          <w:szCs w:val="24"/>
          <w:lang w:val="el-GR"/>
        </w:rPr>
        <w:t>)</w:t>
      </w:r>
      <w:r w:rsidR="005241E6" w:rsidRPr="005241E6">
        <w:rPr>
          <w:rStyle w:val="hps"/>
          <w:rFonts w:cs="Times New Roman"/>
          <w:color w:val="auto"/>
          <w:szCs w:val="24"/>
          <w:lang w:val="el-GR"/>
        </w:rPr>
        <w:t xml:space="preserve"> </w:t>
      </w:r>
      <w:r w:rsidR="005241E6">
        <w:rPr>
          <w:rStyle w:val="hps"/>
          <w:rFonts w:cs="Times New Roman"/>
          <w:color w:val="auto"/>
          <w:szCs w:val="24"/>
          <w:lang w:val="el-GR"/>
        </w:rPr>
        <w:t xml:space="preserve">προς παραγωγή ηλεκτρικής ισχύος και βιοελαίου. Η ολοκληρωμένη διεργασία περιλαμβάνει τα εξής επιμέρους στάδια: α) πυρόλυση του ελαιοπυρήνα στους </w:t>
      </w:r>
      <w:r w:rsidR="005803D5">
        <w:rPr>
          <w:rStyle w:val="hps"/>
          <w:rFonts w:cs="Times New Roman"/>
          <w:color w:val="auto"/>
          <w:szCs w:val="24"/>
          <w:lang w:val="el-GR"/>
        </w:rPr>
        <w:t>500</w:t>
      </w:r>
      <w:r w:rsidR="005241E6" w:rsidRPr="00ED0A1D">
        <w:rPr>
          <w:rStyle w:val="hps"/>
          <w:rFonts w:cs="Times New Roman"/>
          <w:color w:val="auto"/>
          <w:szCs w:val="24"/>
          <w:vertAlign w:val="superscript"/>
          <w:lang w:val="el-GR"/>
        </w:rPr>
        <w:t>ο</w:t>
      </w:r>
      <w:r w:rsidR="005241E6">
        <w:rPr>
          <w:rStyle w:val="hps"/>
          <w:rFonts w:cs="Times New Roman"/>
          <w:color w:val="auto"/>
          <w:szCs w:val="24"/>
          <w:lang w:val="en-US"/>
        </w:rPr>
        <w:t>C</w:t>
      </w:r>
      <w:r w:rsidR="005241E6" w:rsidRPr="00ED0A1D">
        <w:rPr>
          <w:rStyle w:val="hps"/>
          <w:rFonts w:cs="Times New Roman"/>
          <w:color w:val="auto"/>
          <w:szCs w:val="24"/>
          <w:lang w:val="el-GR"/>
        </w:rPr>
        <w:t xml:space="preserve"> </w:t>
      </w:r>
      <w:r w:rsidR="005241E6">
        <w:rPr>
          <w:rStyle w:val="hps"/>
          <w:rFonts w:cs="Times New Roman"/>
          <w:color w:val="auto"/>
          <w:szCs w:val="24"/>
          <w:lang w:val="el-GR"/>
        </w:rPr>
        <w:t xml:space="preserve">προς παραγωγή </w:t>
      </w:r>
      <w:r w:rsidR="00ED0A1D">
        <w:rPr>
          <w:rStyle w:val="hps"/>
          <w:rFonts w:cs="Times New Roman"/>
          <w:color w:val="auto"/>
          <w:szCs w:val="24"/>
          <w:lang w:val="el-GR"/>
        </w:rPr>
        <w:t>βιοεξανθρακώματος (</w:t>
      </w:r>
      <w:r w:rsidR="00180518" w:rsidRPr="00180518">
        <w:rPr>
          <w:rStyle w:val="hps"/>
          <w:rFonts w:cs="Times New Roman"/>
          <w:color w:val="auto"/>
          <w:szCs w:val="24"/>
          <w:lang w:val="el-GR"/>
        </w:rPr>
        <w:t xml:space="preserve">252 </w:t>
      </w:r>
      <w:r w:rsidR="00180518">
        <w:rPr>
          <w:rStyle w:val="hps"/>
          <w:rFonts w:cs="Times New Roman"/>
          <w:color w:val="auto"/>
          <w:szCs w:val="24"/>
          <w:lang w:val="en-US"/>
        </w:rPr>
        <w:t>kg</w:t>
      </w:r>
      <w:r w:rsidR="00180518" w:rsidRPr="00180518">
        <w:rPr>
          <w:rStyle w:val="hps"/>
          <w:rFonts w:cs="Times New Roman"/>
          <w:color w:val="auto"/>
          <w:szCs w:val="24"/>
          <w:lang w:val="el-GR"/>
        </w:rPr>
        <w:t>/</w:t>
      </w:r>
      <w:proofErr w:type="spellStart"/>
      <w:r w:rsidR="00180518">
        <w:rPr>
          <w:rStyle w:val="hps"/>
          <w:rFonts w:cs="Times New Roman"/>
          <w:color w:val="auto"/>
          <w:szCs w:val="24"/>
          <w:lang w:val="en-US"/>
        </w:rPr>
        <w:t>hr</w:t>
      </w:r>
      <w:proofErr w:type="spellEnd"/>
      <w:r w:rsidR="00ED0A1D" w:rsidRPr="00ED0A1D">
        <w:rPr>
          <w:rStyle w:val="hps"/>
          <w:rFonts w:cs="Times New Roman"/>
          <w:color w:val="auto"/>
          <w:szCs w:val="24"/>
          <w:lang w:val="el-GR"/>
        </w:rPr>
        <w:t>)</w:t>
      </w:r>
      <w:r w:rsidR="00ED0A1D">
        <w:rPr>
          <w:rStyle w:val="hps"/>
          <w:rFonts w:cs="Times New Roman"/>
          <w:color w:val="auto"/>
          <w:szCs w:val="24"/>
          <w:lang w:val="el-GR"/>
        </w:rPr>
        <w:t xml:space="preserve">, </w:t>
      </w:r>
      <w:r w:rsidR="005241E6">
        <w:rPr>
          <w:rStyle w:val="hps"/>
          <w:rFonts w:cs="Times New Roman"/>
          <w:color w:val="auto"/>
          <w:szCs w:val="24"/>
          <w:lang w:val="el-GR"/>
        </w:rPr>
        <w:t>βιοελαίου (</w:t>
      </w:r>
      <w:r w:rsidR="00180518" w:rsidRPr="00180518">
        <w:rPr>
          <w:rStyle w:val="hps"/>
          <w:rFonts w:cs="Times New Roman"/>
          <w:color w:val="auto"/>
          <w:szCs w:val="24"/>
          <w:lang w:val="el-GR"/>
        </w:rPr>
        <w:t xml:space="preserve">137 </w:t>
      </w:r>
      <w:r w:rsidR="00180518">
        <w:rPr>
          <w:rStyle w:val="hps"/>
          <w:rFonts w:cs="Times New Roman"/>
          <w:color w:val="auto"/>
          <w:szCs w:val="24"/>
          <w:lang w:val="en-US"/>
        </w:rPr>
        <w:t>kg</w:t>
      </w:r>
      <w:r w:rsidR="00180518" w:rsidRPr="00180518">
        <w:rPr>
          <w:rStyle w:val="hps"/>
          <w:rFonts w:cs="Times New Roman"/>
          <w:color w:val="auto"/>
          <w:szCs w:val="24"/>
          <w:lang w:val="el-GR"/>
        </w:rPr>
        <w:t>/</w:t>
      </w:r>
      <w:proofErr w:type="spellStart"/>
      <w:r w:rsidR="00180518">
        <w:rPr>
          <w:rStyle w:val="hps"/>
          <w:rFonts w:cs="Times New Roman"/>
          <w:color w:val="auto"/>
          <w:szCs w:val="24"/>
          <w:lang w:val="en-US"/>
        </w:rPr>
        <w:t>hr</w:t>
      </w:r>
      <w:proofErr w:type="spellEnd"/>
      <w:r w:rsidR="005241E6" w:rsidRPr="00ED0A1D">
        <w:rPr>
          <w:rStyle w:val="hps"/>
          <w:rFonts w:cs="Times New Roman"/>
          <w:color w:val="auto"/>
          <w:szCs w:val="24"/>
          <w:lang w:val="el-GR"/>
        </w:rPr>
        <w:t xml:space="preserve">) </w:t>
      </w:r>
      <w:r w:rsidR="005241E6">
        <w:rPr>
          <w:rStyle w:val="hps"/>
          <w:rFonts w:cs="Times New Roman"/>
          <w:color w:val="auto"/>
          <w:szCs w:val="24"/>
          <w:lang w:val="el-GR"/>
        </w:rPr>
        <w:t xml:space="preserve">και </w:t>
      </w:r>
      <w:r w:rsidR="00ED0A1D">
        <w:rPr>
          <w:rStyle w:val="hps"/>
          <w:rFonts w:cs="Times New Roman"/>
          <w:color w:val="auto"/>
          <w:szCs w:val="24"/>
          <w:lang w:val="el-GR"/>
        </w:rPr>
        <w:t>αερίου σύνθεσης (</w:t>
      </w:r>
      <w:r w:rsidR="00180518" w:rsidRPr="00180518">
        <w:rPr>
          <w:rStyle w:val="hps"/>
          <w:rFonts w:cs="Times New Roman"/>
          <w:color w:val="auto"/>
          <w:szCs w:val="24"/>
          <w:lang w:val="el-GR"/>
        </w:rPr>
        <w:t xml:space="preserve">245 </w:t>
      </w:r>
      <w:r w:rsidR="00180518">
        <w:rPr>
          <w:rStyle w:val="hps"/>
          <w:rFonts w:cs="Times New Roman"/>
          <w:color w:val="auto"/>
          <w:szCs w:val="24"/>
          <w:lang w:val="en-US"/>
        </w:rPr>
        <w:t>kg</w:t>
      </w:r>
      <w:r w:rsidR="00180518" w:rsidRPr="00180518">
        <w:rPr>
          <w:rStyle w:val="hps"/>
          <w:rFonts w:cs="Times New Roman"/>
          <w:color w:val="auto"/>
          <w:szCs w:val="24"/>
          <w:lang w:val="el-GR"/>
        </w:rPr>
        <w:t>/hr</w:t>
      </w:r>
      <w:r w:rsidR="00ED0A1D" w:rsidRPr="00ED0A1D">
        <w:rPr>
          <w:rStyle w:val="hps"/>
          <w:rFonts w:cs="Times New Roman"/>
          <w:color w:val="auto"/>
          <w:szCs w:val="24"/>
          <w:lang w:val="el-GR"/>
        </w:rPr>
        <w:t>)</w:t>
      </w:r>
      <w:r w:rsidR="005241E6">
        <w:rPr>
          <w:rStyle w:val="hps"/>
          <w:rFonts w:cs="Times New Roman"/>
          <w:color w:val="auto"/>
          <w:szCs w:val="24"/>
          <w:lang w:val="el-GR"/>
        </w:rPr>
        <w:t>, β) αυτόθερμη αεριοποίηση του βιοεξανθρακώματος στους περ</w:t>
      </w:r>
      <w:r w:rsidR="005803D5">
        <w:rPr>
          <w:rStyle w:val="hps"/>
          <w:rFonts w:cs="Times New Roman"/>
          <w:color w:val="auto"/>
          <w:szCs w:val="24"/>
          <w:lang w:val="el-GR"/>
        </w:rPr>
        <w:t>ίπου 800</w:t>
      </w:r>
      <w:r w:rsidR="005241E6" w:rsidRPr="00ED0A1D">
        <w:rPr>
          <w:rStyle w:val="hps"/>
          <w:rFonts w:cs="Times New Roman"/>
          <w:color w:val="auto"/>
          <w:szCs w:val="24"/>
          <w:vertAlign w:val="superscript"/>
          <w:lang w:val="el-GR"/>
        </w:rPr>
        <w:t>ο</w:t>
      </w:r>
      <w:r w:rsidR="005241E6">
        <w:rPr>
          <w:rStyle w:val="hps"/>
          <w:rFonts w:cs="Times New Roman"/>
          <w:color w:val="auto"/>
          <w:szCs w:val="24"/>
          <w:lang w:val="en-US"/>
        </w:rPr>
        <w:t>C</w:t>
      </w:r>
      <w:r w:rsidR="005241E6" w:rsidRPr="00ED0A1D">
        <w:rPr>
          <w:rStyle w:val="hps"/>
          <w:rFonts w:cs="Times New Roman"/>
          <w:color w:val="auto"/>
          <w:szCs w:val="24"/>
          <w:lang w:val="el-GR"/>
        </w:rPr>
        <w:t xml:space="preserve"> </w:t>
      </w:r>
      <w:r w:rsidR="005241E6">
        <w:rPr>
          <w:rStyle w:val="hps"/>
          <w:rFonts w:cs="Times New Roman"/>
          <w:color w:val="auto"/>
          <w:szCs w:val="24"/>
          <w:lang w:val="el-GR"/>
        </w:rPr>
        <w:t>με χρήση</w:t>
      </w:r>
      <w:r w:rsidR="00180518" w:rsidRPr="00180518">
        <w:rPr>
          <w:rStyle w:val="hps"/>
          <w:rFonts w:cs="Times New Roman"/>
          <w:color w:val="auto"/>
          <w:szCs w:val="24"/>
          <w:lang w:val="el-GR"/>
        </w:rPr>
        <w:t xml:space="preserve"> </w:t>
      </w:r>
      <w:r w:rsidR="00180518">
        <w:rPr>
          <w:rStyle w:val="hps"/>
          <w:rFonts w:cs="Times New Roman"/>
          <w:color w:val="auto"/>
          <w:szCs w:val="24"/>
          <w:lang w:val="el-GR"/>
        </w:rPr>
        <w:t xml:space="preserve">μίγματος απεμπλουτισμένου </w:t>
      </w:r>
      <w:r w:rsidR="005241E6">
        <w:rPr>
          <w:rStyle w:val="hps"/>
          <w:rFonts w:cs="Times New Roman"/>
          <w:color w:val="auto"/>
          <w:szCs w:val="24"/>
          <w:lang w:val="el-GR"/>
        </w:rPr>
        <w:t>α</w:t>
      </w:r>
      <w:r w:rsidR="00ED0A1D">
        <w:rPr>
          <w:rStyle w:val="hps"/>
          <w:rFonts w:cs="Times New Roman"/>
          <w:color w:val="auto"/>
          <w:szCs w:val="24"/>
          <w:lang w:val="el-GR"/>
        </w:rPr>
        <w:t>έρα</w:t>
      </w:r>
      <w:r w:rsidR="00180518">
        <w:rPr>
          <w:rStyle w:val="hps"/>
          <w:rFonts w:cs="Times New Roman"/>
          <w:color w:val="auto"/>
          <w:szCs w:val="24"/>
          <w:lang w:val="el-GR"/>
        </w:rPr>
        <w:t xml:space="preserve">, </w:t>
      </w:r>
      <w:r w:rsidR="005241E6">
        <w:rPr>
          <w:rStyle w:val="hps"/>
          <w:rFonts w:cs="Times New Roman"/>
          <w:color w:val="auto"/>
          <w:szCs w:val="24"/>
          <w:lang w:val="el-GR"/>
        </w:rPr>
        <w:t>υδρατμ</w:t>
      </w:r>
      <w:r w:rsidR="00ED0A1D">
        <w:rPr>
          <w:rStyle w:val="hps"/>
          <w:rFonts w:cs="Times New Roman"/>
          <w:color w:val="auto"/>
          <w:szCs w:val="24"/>
          <w:lang w:val="el-GR"/>
        </w:rPr>
        <w:t xml:space="preserve">ών και </w:t>
      </w:r>
      <w:r w:rsidR="00ED0A1D">
        <w:rPr>
          <w:rStyle w:val="hps"/>
          <w:rFonts w:cs="Times New Roman"/>
          <w:color w:val="auto"/>
          <w:szCs w:val="24"/>
          <w:lang w:val="en-US"/>
        </w:rPr>
        <w:t>CO</w:t>
      </w:r>
      <w:r w:rsidR="00ED0A1D" w:rsidRPr="00ED0A1D">
        <w:rPr>
          <w:rStyle w:val="hps"/>
          <w:rFonts w:cs="Times New Roman"/>
          <w:color w:val="auto"/>
          <w:szCs w:val="24"/>
          <w:vertAlign w:val="subscript"/>
          <w:lang w:val="el-GR"/>
        </w:rPr>
        <w:t>2</w:t>
      </w:r>
      <w:r w:rsidR="00ED0A1D" w:rsidRPr="00ED0A1D">
        <w:rPr>
          <w:rStyle w:val="hps"/>
          <w:rFonts w:cs="Times New Roman"/>
          <w:color w:val="auto"/>
          <w:szCs w:val="24"/>
          <w:lang w:val="el-GR"/>
        </w:rPr>
        <w:t xml:space="preserve"> </w:t>
      </w:r>
      <w:r w:rsidR="00ED0A1D">
        <w:rPr>
          <w:rStyle w:val="hps"/>
          <w:rFonts w:cs="Times New Roman"/>
          <w:color w:val="auto"/>
          <w:szCs w:val="24"/>
          <w:lang w:val="el-GR"/>
        </w:rPr>
        <w:t>από την κάθοδο και άνοδο της κυψέλης καυσίμου</w:t>
      </w:r>
      <w:r w:rsidR="00ED0A1D" w:rsidRPr="004752E9">
        <w:rPr>
          <w:rStyle w:val="hps"/>
          <w:rFonts w:cs="Times New Roman"/>
          <w:color w:val="auto"/>
          <w:szCs w:val="24"/>
          <w:lang w:val="el-GR"/>
        </w:rPr>
        <w:t xml:space="preserve">, </w:t>
      </w:r>
      <w:r w:rsidR="00ED0A1D">
        <w:rPr>
          <w:rStyle w:val="hps"/>
          <w:rFonts w:cs="Times New Roman"/>
          <w:color w:val="auto"/>
          <w:szCs w:val="24"/>
          <w:lang w:val="el-GR"/>
        </w:rPr>
        <w:t>αντίστοιχα, ως μέσων αεριοποίησης προς παραγωγή αερίου σύνθεσης (</w:t>
      </w:r>
      <w:r w:rsidR="00180518" w:rsidRPr="00180518">
        <w:rPr>
          <w:rStyle w:val="hps"/>
          <w:rFonts w:cs="Times New Roman"/>
          <w:color w:val="auto"/>
          <w:szCs w:val="24"/>
          <w:lang w:val="el-GR"/>
        </w:rPr>
        <w:t xml:space="preserve">1126 </w:t>
      </w:r>
      <w:r w:rsidR="00180518">
        <w:rPr>
          <w:rStyle w:val="hps"/>
          <w:rFonts w:cs="Times New Roman"/>
          <w:color w:val="auto"/>
          <w:szCs w:val="24"/>
          <w:lang w:val="en-US"/>
        </w:rPr>
        <w:t>kg</w:t>
      </w:r>
      <w:r w:rsidR="00180518" w:rsidRPr="00180518">
        <w:rPr>
          <w:rStyle w:val="hps"/>
          <w:rFonts w:cs="Times New Roman"/>
          <w:color w:val="auto"/>
          <w:szCs w:val="24"/>
          <w:lang w:val="el-GR"/>
        </w:rPr>
        <w:t>/</w:t>
      </w:r>
      <w:proofErr w:type="spellStart"/>
      <w:r w:rsidR="00180518">
        <w:rPr>
          <w:rStyle w:val="hps"/>
          <w:rFonts w:cs="Times New Roman"/>
          <w:color w:val="auto"/>
          <w:szCs w:val="24"/>
          <w:lang w:val="en-US"/>
        </w:rPr>
        <w:t>hr</w:t>
      </w:r>
      <w:proofErr w:type="spellEnd"/>
      <w:r w:rsidR="00ED0A1D" w:rsidRPr="00ED0A1D">
        <w:rPr>
          <w:rStyle w:val="hps"/>
          <w:rFonts w:cs="Times New Roman"/>
          <w:color w:val="auto"/>
          <w:szCs w:val="24"/>
          <w:lang w:val="el-GR"/>
        </w:rPr>
        <w:t>)</w:t>
      </w:r>
      <w:r w:rsidR="004752E9">
        <w:rPr>
          <w:rStyle w:val="hps"/>
          <w:rFonts w:cs="Times New Roman"/>
          <w:color w:val="auto"/>
          <w:szCs w:val="24"/>
          <w:lang w:val="el-GR"/>
        </w:rPr>
        <w:t xml:space="preserve"> και</w:t>
      </w:r>
      <w:r w:rsidR="00ED0A1D">
        <w:rPr>
          <w:rStyle w:val="hps"/>
          <w:rFonts w:cs="Times New Roman"/>
          <w:color w:val="auto"/>
          <w:szCs w:val="24"/>
          <w:lang w:val="el-GR"/>
        </w:rPr>
        <w:t xml:space="preserve"> γ) χρήση του αερίου σύνθεσης από την πυρόλυση</w:t>
      </w:r>
      <w:r w:rsidR="005803D5">
        <w:rPr>
          <w:rStyle w:val="hps"/>
          <w:rFonts w:cs="Times New Roman"/>
          <w:color w:val="auto"/>
          <w:szCs w:val="24"/>
          <w:lang w:val="el-GR"/>
        </w:rPr>
        <w:t>/</w:t>
      </w:r>
      <w:r w:rsidR="00ED0A1D">
        <w:rPr>
          <w:rStyle w:val="hps"/>
          <w:rFonts w:cs="Times New Roman"/>
          <w:color w:val="auto"/>
          <w:szCs w:val="24"/>
          <w:lang w:val="el-GR"/>
        </w:rPr>
        <w:t>αεριοποίηση ως καυσίμου τροφοδοσίας σε συστοιχία κυψέλης καυσίμου στερεών οξειδίων (</w:t>
      </w:r>
      <w:r w:rsidR="00ED0A1D">
        <w:rPr>
          <w:rStyle w:val="hps"/>
          <w:rFonts w:cs="Times New Roman"/>
          <w:color w:val="auto"/>
          <w:szCs w:val="24"/>
          <w:lang w:val="en-US"/>
        </w:rPr>
        <w:t>SOFC</w:t>
      </w:r>
      <w:r w:rsidR="00ED0A1D" w:rsidRPr="004752E9">
        <w:rPr>
          <w:rStyle w:val="hps"/>
          <w:rFonts w:cs="Times New Roman"/>
          <w:color w:val="auto"/>
          <w:szCs w:val="24"/>
          <w:lang w:val="el-GR"/>
        </w:rPr>
        <w:t xml:space="preserve">) </w:t>
      </w:r>
      <w:r w:rsidR="005803D5">
        <w:rPr>
          <w:rStyle w:val="hps"/>
          <w:rFonts w:cs="Times New Roman"/>
          <w:color w:val="auto"/>
          <w:szCs w:val="24"/>
          <w:lang w:val="el-GR"/>
        </w:rPr>
        <w:t>που λειτουργεί στους 800</w:t>
      </w:r>
      <w:proofErr w:type="spellStart"/>
      <w:r w:rsidR="005803D5" w:rsidRPr="00196DF7">
        <w:rPr>
          <w:rStyle w:val="hps"/>
          <w:rFonts w:cs="Times New Roman"/>
          <w:color w:val="auto"/>
          <w:szCs w:val="24"/>
          <w:vertAlign w:val="superscript"/>
          <w:lang w:val="en-US"/>
        </w:rPr>
        <w:t>o</w:t>
      </w:r>
      <w:r w:rsidR="005803D5">
        <w:rPr>
          <w:rStyle w:val="hps"/>
          <w:rFonts w:cs="Times New Roman"/>
          <w:color w:val="auto"/>
          <w:szCs w:val="24"/>
          <w:lang w:val="en-US"/>
        </w:rPr>
        <w:t>C</w:t>
      </w:r>
      <w:proofErr w:type="spellEnd"/>
      <w:r w:rsidR="005803D5" w:rsidRPr="00196DF7">
        <w:rPr>
          <w:rStyle w:val="hps"/>
          <w:rFonts w:cs="Times New Roman"/>
          <w:color w:val="auto"/>
          <w:szCs w:val="24"/>
          <w:lang w:val="el-GR"/>
        </w:rPr>
        <w:t xml:space="preserve"> </w:t>
      </w:r>
      <w:r w:rsidR="00ED0A1D">
        <w:rPr>
          <w:rStyle w:val="hps"/>
          <w:rFonts w:cs="Times New Roman"/>
          <w:color w:val="auto"/>
          <w:szCs w:val="24"/>
          <w:lang w:val="el-GR"/>
        </w:rPr>
        <w:t>προς συμπαραγωγή ηλεκτρικής (1.35 Μ</w:t>
      </w:r>
      <w:proofErr w:type="spellStart"/>
      <w:r w:rsidR="00ED0A1D">
        <w:rPr>
          <w:rStyle w:val="hps"/>
          <w:rFonts w:cs="Times New Roman"/>
          <w:color w:val="auto"/>
          <w:szCs w:val="24"/>
          <w:lang w:val="en-US"/>
        </w:rPr>
        <w:t>W</w:t>
      </w:r>
      <w:r w:rsidR="00ED0A1D" w:rsidRPr="004752E9">
        <w:rPr>
          <w:rStyle w:val="hps"/>
          <w:rFonts w:cs="Times New Roman"/>
          <w:color w:val="auto"/>
          <w:szCs w:val="24"/>
          <w:vertAlign w:val="subscript"/>
          <w:lang w:val="en-US"/>
        </w:rPr>
        <w:t>el</w:t>
      </w:r>
      <w:proofErr w:type="spellEnd"/>
      <w:r w:rsidR="00ED0A1D" w:rsidRPr="004752E9">
        <w:rPr>
          <w:rStyle w:val="hps"/>
          <w:rFonts w:cs="Times New Roman"/>
          <w:color w:val="auto"/>
          <w:szCs w:val="24"/>
          <w:lang w:val="el-GR"/>
        </w:rPr>
        <w:t xml:space="preserve">) </w:t>
      </w:r>
      <w:r w:rsidR="00ED0A1D">
        <w:rPr>
          <w:rStyle w:val="hps"/>
          <w:rFonts w:cs="Times New Roman"/>
          <w:color w:val="auto"/>
          <w:szCs w:val="24"/>
          <w:lang w:val="el-GR"/>
        </w:rPr>
        <w:t xml:space="preserve">και θερμικής </w:t>
      </w:r>
      <w:r w:rsidR="004752E9" w:rsidRPr="004752E9">
        <w:rPr>
          <w:rStyle w:val="hps"/>
          <w:rFonts w:cs="Times New Roman"/>
          <w:color w:val="auto"/>
          <w:szCs w:val="24"/>
          <w:lang w:val="el-GR"/>
        </w:rPr>
        <w:t>(1.1</w:t>
      </w:r>
      <w:r w:rsidR="00A34EA5" w:rsidRPr="00A34EA5">
        <w:rPr>
          <w:rStyle w:val="hps"/>
          <w:rFonts w:cs="Times New Roman"/>
          <w:color w:val="auto"/>
          <w:szCs w:val="24"/>
          <w:lang w:val="el-GR"/>
        </w:rPr>
        <w:t xml:space="preserve"> </w:t>
      </w:r>
      <w:bookmarkStart w:id="0" w:name="_GoBack"/>
      <w:bookmarkEnd w:id="0"/>
      <w:proofErr w:type="spellStart"/>
      <w:r w:rsidR="004752E9">
        <w:rPr>
          <w:rStyle w:val="hps"/>
          <w:rFonts w:cs="Times New Roman"/>
          <w:color w:val="auto"/>
          <w:szCs w:val="24"/>
          <w:lang w:val="en-US"/>
        </w:rPr>
        <w:t>MW</w:t>
      </w:r>
      <w:r w:rsidR="004752E9" w:rsidRPr="004752E9">
        <w:rPr>
          <w:rStyle w:val="hps"/>
          <w:rFonts w:cs="Times New Roman"/>
          <w:color w:val="auto"/>
          <w:szCs w:val="24"/>
          <w:vertAlign w:val="subscript"/>
          <w:lang w:val="en-US"/>
        </w:rPr>
        <w:t>th</w:t>
      </w:r>
      <w:proofErr w:type="spellEnd"/>
      <w:r w:rsidR="004752E9" w:rsidRPr="004752E9">
        <w:rPr>
          <w:rStyle w:val="hps"/>
          <w:rFonts w:cs="Times New Roman"/>
          <w:color w:val="auto"/>
          <w:szCs w:val="24"/>
          <w:lang w:val="el-GR"/>
        </w:rPr>
        <w:t xml:space="preserve">) </w:t>
      </w:r>
      <w:r w:rsidR="00ED0A1D">
        <w:rPr>
          <w:rStyle w:val="hps"/>
          <w:rFonts w:cs="Times New Roman"/>
          <w:color w:val="auto"/>
          <w:szCs w:val="24"/>
          <w:lang w:val="el-GR"/>
        </w:rPr>
        <w:t>ισχύος</w:t>
      </w:r>
      <w:r w:rsidR="004752E9">
        <w:rPr>
          <w:rStyle w:val="hps"/>
          <w:rFonts w:cs="Times New Roman"/>
          <w:color w:val="auto"/>
          <w:szCs w:val="24"/>
          <w:lang w:val="el-GR"/>
        </w:rPr>
        <w:t>.</w:t>
      </w:r>
      <w:r w:rsidR="004752E9" w:rsidRPr="004752E9">
        <w:rPr>
          <w:rStyle w:val="hps"/>
          <w:rFonts w:cs="Times New Roman"/>
          <w:color w:val="auto"/>
          <w:szCs w:val="24"/>
          <w:lang w:val="el-GR"/>
        </w:rPr>
        <w:t xml:space="preserve"> </w:t>
      </w:r>
      <w:r w:rsidR="0044697B" w:rsidRPr="00C025AA">
        <w:rPr>
          <w:rStyle w:val="hps"/>
          <w:rFonts w:cs="Times New Roman"/>
          <w:color w:val="auto"/>
          <w:szCs w:val="24"/>
          <w:lang w:val="el-GR"/>
        </w:rPr>
        <w:t xml:space="preserve">Ο παραγόμενος ατμός ο οποίος δεν </w:t>
      </w:r>
      <w:r w:rsidR="00E520F0">
        <w:rPr>
          <w:rStyle w:val="hps"/>
          <w:rFonts w:cs="Times New Roman"/>
          <w:color w:val="auto"/>
          <w:szCs w:val="24"/>
          <w:lang w:val="el-GR"/>
        </w:rPr>
        <w:t>χρησιμοποιείται</w:t>
      </w:r>
      <w:r w:rsidR="0044697B" w:rsidRPr="00C025AA">
        <w:rPr>
          <w:rStyle w:val="hps"/>
          <w:rFonts w:cs="Times New Roman"/>
          <w:color w:val="auto"/>
          <w:szCs w:val="24"/>
          <w:lang w:val="el-GR"/>
        </w:rPr>
        <w:t xml:space="preserve"> για την κάλυψη των εσωτερικών θερμικών απαιτήσεων (1505 </w:t>
      </w:r>
      <w:r w:rsidR="0044697B" w:rsidRPr="00C025AA">
        <w:rPr>
          <w:rStyle w:val="hps"/>
          <w:rFonts w:cs="Times New Roman"/>
          <w:color w:val="auto"/>
          <w:szCs w:val="24"/>
          <w:lang w:val="en-US"/>
        </w:rPr>
        <w:t>kg</w:t>
      </w:r>
      <w:r w:rsidR="0044697B" w:rsidRPr="00C025AA">
        <w:rPr>
          <w:rStyle w:val="hps"/>
          <w:rFonts w:cs="Times New Roman"/>
          <w:color w:val="auto"/>
          <w:szCs w:val="24"/>
          <w:lang w:val="el-GR"/>
        </w:rPr>
        <w:t>/</w:t>
      </w:r>
      <w:r w:rsidR="0044697B" w:rsidRPr="00C025AA">
        <w:rPr>
          <w:rStyle w:val="hps"/>
          <w:rFonts w:cs="Times New Roman"/>
          <w:color w:val="auto"/>
          <w:szCs w:val="24"/>
          <w:lang w:val="en-US"/>
        </w:rPr>
        <w:t>h</w:t>
      </w:r>
      <w:r w:rsidR="0044697B" w:rsidRPr="00C025AA">
        <w:rPr>
          <w:rStyle w:val="hps"/>
          <w:rFonts w:cs="Times New Roman"/>
          <w:color w:val="auto"/>
          <w:szCs w:val="24"/>
          <w:lang w:val="el-GR"/>
        </w:rPr>
        <w:t xml:space="preserve">, 50 </w:t>
      </w:r>
      <w:r w:rsidR="0044697B" w:rsidRPr="00C025AA">
        <w:rPr>
          <w:rStyle w:val="hps"/>
          <w:rFonts w:cs="Times New Roman"/>
          <w:color w:val="auto"/>
          <w:szCs w:val="24"/>
          <w:lang w:val="en-US"/>
        </w:rPr>
        <w:t>bar</w:t>
      </w:r>
      <w:r w:rsidR="0044697B" w:rsidRPr="00C025AA">
        <w:rPr>
          <w:rStyle w:val="hps"/>
          <w:rFonts w:cs="Times New Roman"/>
          <w:color w:val="auto"/>
          <w:szCs w:val="24"/>
          <w:lang w:val="el-GR"/>
        </w:rPr>
        <w:t xml:space="preserve">, 553 </w:t>
      </w:r>
      <w:proofErr w:type="spellStart"/>
      <w:r w:rsidR="0044697B" w:rsidRPr="00C025AA">
        <w:rPr>
          <w:rStyle w:val="hps"/>
          <w:rFonts w:cs="Times New Roman"/>
          <w:color w:val="auto"/>
          <w:szCs w:val="24"/>
          <w:vertAlign w:val="superscript"/>
          <w:lang w:val="en-US"/>
        </w:rPr>
        <w:t>o</w:t>
      </w:r>
      <w:r w:rsidR="0044697B" w:rsidRPr="00C025AA">
        <w:rPr>
          <w:rStyle w:val="hps"/>
          <w:rFonts w:cs="Times New Roman"/>
          <w:color w:val="auto"/>
          <w:szCs w:val="24"/>
          <w:lang w:val="en-US"/>
        </w:rPr>
        <w:t>C</w:t>
      </w:r>
      <w:proofErr w:type="spellEnd"/>
      <w:r w:rsidR="0044697B" w:rsidRPr="00C025AA">
        <w:rPr>
          <w:rStyle w:val="hps"/>
          <w:rFonts w:cs="Times New Roman"/>
          <w:color w:val="auto"/>
          <w:szCs w:val="24"/>
          <w:lang w:val="el-GR"/>
        </w:rPr>
        <w:t>)</w:t>
      </w:r>
      <w:r w:rsidR="00777514" w:rsidRPr="00C025AA">
        <w:rPr>
          <w:rStyle w:val="hps"/>
          <w:rFonts w:cs="Times New Roman"/>
          <w:color w:val="auto"/>
          <w:szCs w:val="24"/>
          <w:lang w:val="el-GR"/>
        </w:rPr>
        <w:t xml:space="preserve">, </w:t>
      </w:r>
      <w:r w:rsidR="0044697B" w:rsidRPr="00C025AA">
        <w:rPr>
          <w:rStyle w:val="hps"/>
          <w:rFonts w:cs="Times New Roman"/>
          <w:color w:val="auto"/>
          <w:szCs w:val="24"/>
          <w:lang w:val="el-GR"/>
        </w:rPr>
        <w:t xml:space="preserve"> </w:t>
      </w:r>
      <w:r w:rsidR="00777514" w:rsidRPr="00C025AA">
        <w:rPr>
          <w:rStyle w:val="hps"/>
          <w:rFonts w:cs="Times New Roman"/>
          <w:color w:val="auto"/>
          <w:szCs w:val="24"/>
          <w:lang w:val="el-GR"/>
        </w:rPr>
        <w:t>οδηγείται σε συστοιχία</w:t>
      </w:r>
      <w:r w:rsidR="004752E9">
        <w:rPr>
          <w:rStyle w:val="hps"/>
          <w:rFonts w:cs="Times New Roman"/>
          <w:color w:val="auto"/>
          <w:szCs w:val="24"/>
          <w:lang w:val="el-GR"/>
        </w:rPr>
        <w:t xml:space="preserve"> αεριοστροβίλων</w:t>
      </w:r>
      <w:r w:rsidR="00777514" w:rsidRPr="00C025AA">
        <w:rPr>
          <w:rStyle w:val="hps"/>
          <w:rFonts w:cs="Times New Roman"/>
          <w:color w:val="auto"/>
          <w:szCs w:val="24"/>
          <w:lang w:val="el-GR"/>
        </w:rPr>
        <w:t xml:space="preserve"> που αποδίδουν ισχύ ίση με </w:t>
      </w:r>
      <w:r w:rsidR="004752E9">
        <w:rPr>
          <w:rStyle w:val="hps"/>
          <w:rFonts w:cs="Times New Roman"/>
          <w:color w:val="auto"/>
          <w:szCs w:val="24"/>
          <w:lang w:val="el-GR"/>
        </w:rPr>
        <w:t>0.</w:t>
      </w:r>
      <w:r w:rsidR="00777514" w:rsidRPr="00C025AA">
        <w:rPr>
          <w:rStyle w:val="hps"/>
          <w:rFonts w:cs="Times New Roman"/>
          <w:color w:val="auto"/>
          <w:szCs w:val="24"/>
          <w:lang w:val="el-GR"/>
        </w:rPr>
        <w:t xml:space="preserve">4 </w:t>
      </w:r>
      <w:r w:rsidR="004752E9">
        <w:rPr>
          <w:rStyle w:val="hps"/>
          <w:rFonts w:cs="Times New Roman"/>
          <w:color w:val="auto"/>
          <w:szCs w:val="24"/>
          <w:lang w:val="el-GR"/>
        </w:rPr>
        <w:t>Μ</w:t>
      </w:r>
      <w:r w:rsidR="00777514" w:rsidRPr="00C025AA">
        <w:rPr>
          <w:rStyle w:val="hps"/>
          <w:rFonts w:cs="Times New Roman"/>
          <w:color w:val="auto"/>
          <w:szCs w:val="24"/>
          <w:lang w:val="el-GR"/>
        </w:rPr>
        <w:t>W</w:t>
      </w:r>
      <w:r w:rsidR="00777514" w:rsidRPr="004752E9">
        <w:rPr>
          <w:rStyle w:val="hps"/>
          <w:rFonts w:cs="Times New Roman"/>
          <w:color w:val="auto"/>
          <w:szCs w:val="24"/>
          <w:vertAlign w:val="subscript"/>
          <w:lang w:val="el-GR"/>
        </w:rPr>
        <w:t>el</w:t>
      </w:r>
      <w:r w:rsidR="004752E9">
        <w:rPr>
          <w:rStyle w:val="hps"/>
          <w:rFonts w:cs="Times New Roman"/>
          <w:color w:val="auto"/>
          <w:szCs w:val="24"/>
          <w:lang w:val="el-GR"/>
        </w:rPr>
        <w:t xml:space="preserve"> συμβάλλοντας σε μία συνολική παραγόμενη ηλεκτρική ισχύ ίση με 1.75 </w:t>
      </w:r>
      <w:proofErr w:type="spellStart"/>
      <w:r w:rsidR="004752E9">
        <w:rPr>
          <w:rStyle w:val="hps"/>
          <w:rFonts w:cs="Times New Roman"/>
          <w:color w:val="auto"/>
          <w:szCs w:val="24"/>
          <w:lang w:val="en-US"/>
        </w:rPr>
        <w:t>MW</w:t>
      </w:r>
      <w:r w:rsidR="004752E9" w:rsidRPr="004752E9">
        <w:rPr>
          <w:rStyle w:val="hps"/>
          <w:rFonts w:cs="Times New Roman"/>
          <w:color w:val="auto"/>
          <w:szCs w:val="24"/>
          <w:vertAlign w:val="subscript"/>
          <w:lang w:val="en-US"/>
        </w:rPr>
        <w:t>el</w:t>
      </w:r>
      <w:proofErr w:type="spellEnd"/>
      <w:r w:rsidR="004752E9" w:rsidRPr="004752E9">
        <w:rPr>
          <w:rStyle w:val="hps"/>
          <w:rFonts w:cs="Times New Roman"/>
          <w:color w:val="auto"/>
          <w:szCs w:val="24"/>
          <w:lang w:val="el-GR"/>
        </w:rPr>
        <w:t xml:space="preserve"> </w:t>
      </w:r>
      <w:r w:rsidR="004752E9">
        <w:rPr>
          <w:rStyle w:val="hps"/>
          <w:rFonts w:cs="Times New Roman"/>
          <w:color w:val="auto"/>
          <w:szCs w:val="24"/>
          <w:lang w:val="el-GR"/>
        </w:rPr>
        <w:t xml:space="preserve">με απόδοση ίση με </w:t>
      </w:r>
      <w:r w:rsidR="00C72CA1" w:rsidRPr="00232713">
        <w:rPr>
          <w:rStyle w:val="hps"/>
          <w:rFonts w:cs="Times New Roman"/>
          <w:color w:val="auto"/>
          <w:szCs w:val="24"/>
          <w:lang w:val="el-GR"/>
        </w:rPr>
        <w:t>4</w:t>
      </w:r>
      <w:r w:rsidR="00241400" w:rsidRPr="00241400">
        <w:rPr>
          <w:rStyle w:val="hps"/>
          <w:rFonts w:cs="Times New Roman"/>
          <w:color w:val="auto"/>
          <w:szCs w:val="24"/>
          <w:lang w:val="el-GR"/>
        </w:rPr>
        <w:t>9</w:t>
      </w:r>
      <w:r w:rsidR="00232713" w:rsidRPr="00232713">
        <w:rPr>
          <w:rStyle w:val="hps"/>
          <w:rFonts w:cs="Times New Roman"/>
          <w:color w:val="auto"/>
          <w:szCs w:val="24"/>
          <w:lang w:val="el-GR"/>
        </w:rPr>
        <w:t xml:space="preserve">% </w:t>
      </w:r>
      <w:r w:rsidR="004752E9">
        <w:rPr>
          <w:rStyle w:val="hps"/>
          <w:rFonts w:cs="Times New Roman"/>
          <w:color w:val="auto"/>
          <w:szCs w:val="24"/>
          <w:lang w:val="el-GR"/>
        </w:rPr>
        <w:t>ως προς την κατώτερη θερμογόνο δύναμη του εισερχόμενου πρωτογενή ελαιοπυρήνα.</w:t>
      </w:r>
      <w:r w:rsidR="00777514" w:rsidRPr="00C025AA">
        <w:rPr>
          <w:rStyle w:val="hps"/>
          <w:rFonts w:cs="Times New Roman"/>
          <w:color w:val="auto"/>
          <w:szCs w:val="24"/>
          <w:lang w:val="el-GR"/>
        </w:rPr>
        <w:t xml:space="preserve"> Η</w:t>
      </w:r>
      <w:r w:rsidR="00C54786" w:rsidRPr="00C025AA">
        <w:rPr>
          <w:rStyle w:val="hps"/>
          <w:rFonts w:cs="Times New Roman"/>
          <w:color w:val="auto"/>
          <w:szCs w:val="24"/>
          <w:lang w:val="el-GR"/>
        </w:rPr>
        <w:t xml:space="preserve"> </w:t>
      </w:r>
      <w:r w:rsidR="004752E9">
        <w:rPr>
          <w:rStyle w:val="hps"/>
          <w:rFonts w:cs="Times New Roman"/>
          <w:color w:val="auto"/>
          <w:szCs w:val="24"/>
          <w:lang w:val="el-GR"/>
        </w:rPr>
        <w:t>προσομοίωση</w:t>
      </w:r>
      <w:r w:rsidR="00C54786" w:rsidRPr="00C025AA">
        <w:rPr>
          <w:rStyle w:val="hps"/>
          <w:rFonts w:cs="Times New Roman"/>
          <w:color w:val="auto"/>
          <w:szCs w:val="24"/>
          <w:lang w:val="el-GR"/>
        </w:rPr>
        <w:t xml:space="preserve"> της ολοκληρωμένης </w:t>
      </w:r>
      <w:r w:rsidR="000F6701" w:rsidRPr="00C025AA">
        <w:rPr>
          <w:rStyle w:val="hps"/>
          <w:rFonts w:cs="Times New Roman"/>
          <w:color w:val="auto"/>
          <w:szCs w:val="24"/>
          <w:lang w:val="el-GR"/>
        </w:rPr>
        <w:t>διεργασίας</w:t>
      </w:r>
      <w:r w:rsidR="00C54786" w:rsidRPr="00C025AA">
        <w:rPr>
          <w:rStyle w:val="hps"/>
          <w:rFonts w:cs="Times New Roman"/>
          <w:color w:val="auto"/>
          <w:szCs w:val="24"/>
          <w:lang w:val="el-GR"/>
        </w:rPr>
        <w:t xml:space="preserve"> </w:t>
      </w:r>
      <w:r w:rsidR="004752E9">
        <w:rPr>
          <w:rStyle w:val="hps"/>
          <w:rFonts w:cs="Times New Roman"/>
          <w:color w:val="auto"/>
          <w:szCs w:val="24"/>
          <w:lang w:val="el-GR"/>
        </w:rPr>
        <w:t xml:space="preserve">για την επίλυση των ισοζυγίων μάζας και ενέργειας και την θερμική ολοκλήρωση των επιμέρους διεργασίων </w:t>
      </w:r>
      <w:r w:rsidR="00C54786" w:rsidRPr="00C025AA">
        <w:rPr>
          <w:rStyle w:val="hps"/>
          <w:rFonts w:cs="Times New Roman"/>
          <w:color w:val="auto"/>
          <w:szCs w:val="24"/>
          <w:lang w:val="el-GR"/>
        </w:rPr>
        <w:t>πραγματοποι</w:t>
      </w:r>
      <w:r w:rsidR="007225B1">
        <w:rPr>
          <w:rStyle w:val="hps"/>
          <w:rFonts w:cs="Times New Roman"/>
          <w:color w:val="auto"/>
          <w:szCs w:val="24"/>
          <w:lang w:val="el-GR"/>
        </w:rPr>
        <w:t>ήθηκε</w:t>
      </w:r>
      <w:r w:rsidRPr="00C025AA">
        <w:rPr>
          <w:rStyle w:val="hps"/>
          <w:rFonts w:cs="Times New Roman"/>
          <w:color w:val="auto"/>
          <w:szCs w:val="24"/>
          <w:lang w:val="el-GR"/>
        </w:rPr>
        <w:t xml:space="preserve"> </w:t>
      </w:r>
      <w:r w:rsidR="00C54786" w:rsidRPr="00C025AA">
        <w:rPr>
          <w:rStyle w:val="hps"/>
          <w:rFonts w:cs="Times New Roman"/>
          <w:color w:val="auto"/>
          <w:szCs w:val="24"/>
          <w:lang w:val="el-GR"/>
        </w:rPr>
        <w:t xml:space="preserve">με χρήση του </w:t>
      </w:r>
      <w:r w:rsidR="004752E9">
        <w:rPr>
          <w:rStyle w:val="hps"/>
          <w:rFonts w:cs="Times New Roman"/>
          <w:color w:val="auto"/>
          <w:szCs w:val="24"/>
          <w:lang w:val="el-GR"/>
        </w:rPr>
        <w:t>λογισμικού</w:t>
      </w:r>
      <w:r w:rsidR="00C54786" w:rsidRPr="00C025AA">
        <w:rPr>
          <w:rStyle w:val="hps"/>
          <w:rFonts w:cs="Times New Roman"/>
          <w:color w:val="auto"/>
          <w:szCs w:val="24"/>
          <w:lang w:val="el-GR"/>
        </w:rPr>
        <w:t xml:space="preserve"> Aspen </w:t>
      </w:r>
      <w:r w:rsidRPr="00C025AA">
        <w:rPr>
          <w:rStyle w:val="hps"/>
          <w:rFonts w:cs="Times New Roman"/>
          <w:color w:val="auto"/>
          <w:szCs w:val="24"/>
          <w:lang w:val="en-US"/>
        </w:rPr>
        <w:t>Plus</w:t>
      </w:r>
      <w:r w:rsidRPr="00C025AA">
        <w:rPr>
          <w:rStyle w:val="hps"/>
          <w:rFonts w:cstheme="minorHAnsi"/>
          <w:color w:val="auto"/>
          <w:szCs w:val="24"/>
          <w:lang w:val="el-GR"/>
        </w:rPr>
        <w:t>®</w:t>
      </w:r>
      <w:r w:rsidR="004752E9">
        <w:rPr>
          <w:rStyle w:val="hps"/>
          <w:rFonts w:cstheme="minorHAnsi"/>
          <w:color w:val="auto"/>
          <w:szCs w:val="24"/>
          <w:lang w:val="el-GR"/>
        </w:rPr>
        <w:t xml:space="preserve"> και σχετικών πειραματικών δεδομένων</w:t>
      </w:r>
      <w:r w:rsidR="00C54786" w:rsidRPr="00C025AA">
        <w:rPr>
          <w:rStyle w:val="hps"/>
          <w:rFonts w:cs="Times New Roman"/>
          <w:color w:val="auto"/>
          <w:szCs w:val="24"/>
          <w:lang w:val="el-GR"/>
        </w:rPr>
        <w:t>.</w:t>
      </w:r>
    </w:p>
    <w:p w14:paraId="47CE261A" w14:textId="2610EB38" w:rsidR="00055CAD" w:rsidRPr="004F1ED7" w:rsidRDefault="00055CAD" w:rsidP="00055CAD">
      <w:pPr>
        <w:spacing w:after="20" w:line="240" w:lineRule="auto"/>
        <w:jc w:val="both"/>
        <w:rPr>
          <w:rStyle w:val="hps"/>
          <w:rFonts w:cs="Times New Roman"/>
          <w:szCs w:val="24"/>
          <w:lang w:val="el-GR"/>
        </w:rPr>
      </w:pPr>
    </w:p>
    <w:p w14:paraId="2A6E70CF" w14:textId="2535D886" w:rsidR="00670DAB" w:rsidRDefault="00ED7AD7" w:rsidP="00055CAD">
      <w:pPr>
        <w:spacing w:after="20" w:line="240" w:lineRule="auto"/>
        <w:jc w:val="both"/>
        <w:rPr>
          <w:rFonts w:cs="Times New Roman"/>
          <w:b/>
          <w:bCs/>
          <w:szCs w:val="24"/>
          <w:lang w:val="el-GR"/>
        </w:rPr>
      </w:pPr>
      <w:r w:rsidRPr="000E7582">
        <w:rPr>
          <w:rFonts w:cs="Times New Roman"/>
          <w:b/>
          <w:bCs/>
          <w:szCs w:val="24"/>
          <w:lang w:val="el-GR"/>
        </w:rPr>
        <w:t>ΛΕΞΕΙΣ ΚΛΕΙΔΙΑ:</w:t>
      </w:r>
      <w:r w:rsidR="00DE346C">
        <w:rPr>
          <w:rFonts w:cs="Times New Roman"/>
          <w:b/>
          <w:bCs/>
          <w:szCs w:val="24"/>
          <w:lang w:val="el-GR"/>
        </w:rPr>
        <w:t xml:space="preserve"> </w:t>
      </w:r>
      <w:r w:rsidR="00057860">
        <w:rPr>
          <w:rFonts w:cs="Times New Roman"/>
          <w:szCs w:val="24"/>
          <w:lang w:val="el-GR"/>
        </w:rPr>
        <w:t xml:space="preserve">Ελαιοπυρήνας, Πυρόλυση, Αεριοποίηση, </w:t>
      </w:r>
      <w:r w:rsidR="00232713">
        <w:rPr>
          <w:rFonts w:cs="Times New Roman"/>
          <w:szCs w:val="24"/>
          <w:lang w:val="el-GR"/>
        </w:rPr>
        <w:t xml:space="preserve">Κυψέλη Καυσίμου </w:t>
      </w:r>
      <w:r w:rsidR="00232713">
        <w:rPr>
          <w:rFonts w:cs="Times New Roman"/>
          <w:szCs w:val="24"/>
          <w:lang w:val="en-US"/>
        </w:rPr>
        <w:t>SOFC</w:t>
      </w:r>
      <w:r w:rsidR="00232713" w:rsidRPr="00196DF7">
        <w:rPr>
          <w:rFonts w:cs="Times New Roman"/>
          <w:szCs w:val="24"/>
          <w:lang w:val="el-GR"/>
        </w:rPr>
        <w:t xml:space="preserve">, </w:t>
      </w:r>
      <w:r w:rsidR="00D5272E">
        <w:rPr>
          <w:rFonts w:cs="Times New Roman"/>
          <w:szCs w:val="24"/>
          <w:lang w:val="el-GR"/>
        </w:rPr>
        <w:t>Βιοέλαιο</w:t>
      </w:r>
      <w:r w:rsidR="00057860">
        <w:rPr>
          <w:rFonts w:cs="Times New Roman"/>
          <w:szCs w:val="24"/>
          <w:lang w:val="el-GR"/>
        </w:rPr>
        <w:t>, Συμπαραγωγή ηλεκτρισμού και θερμότητας</w:t>
      </w:r>
      <w:r w:rsidR="00DE346C">
        <w:rPr>
          <w:rFonts w:cs="Times New Roman"/>
          <w:szCs w:val="24"/>
          <w:lang w:val="el-GR"/>
        </w:rPr>
        <w:t xml:space="preserve"> </w:t>
      </w:r>
      <w:r w:rsidRPr="000E7582">
        <w:rPr>
          <w:rFonts w:cs="Times New Roman"/>
          <w:b/>
          <w:bCs/>
          <w:szCs w:val="24"/>
          <w:lang w:val="el-GR"/>
        </w:rPr>
        <w:t xml:space="preserve"> </w:t>
      </w:r>
    </w:p>
    <w:p w14:paraId="71B43080" w14:textId="5FD6DE08" w:rsidR="000E7582" w:rsidRDefault="000E7582" w:rsidP="00055CAD">
      <w:pPr>
        <w:spacing w:after="20" w:line="240" w:lineRule="auto"/>
        <w:jc w:val="both"/>
        <w:rPr>
          <w:rFonts w:cs="Times New Roman"/>
          <w:b/>
          <w:bCs/>
          <w:szCs w:val="24"/>
          <w:lang w:val="el-GR"/>
        </w:rPr>
      </w:pPr>
    </w:p>
    <w:p w14:paraId="5110B571" w14:textId="77777777" w:rsidR="006531A6" w:rsidRDefault="006531A6" w:rsidP="00055CAD">
      <w:pPr>
        <w:spacing w:after="20" w:line="240" w:lineRule="auto"/>
        <w:jc w:val="both"/>
        <w:rPr>
          <w:rFonts w:cs="Times New Roman"/>
          <w:b/>
          <w:bCs/>
          <w:szCs w:val="24"/>
          <w:lang w:val="el-GR"/>
        </w:rPr>
      </w:pPr>
    </w:p>
    <w:p w14:paraId="72AC3D60" w14:textId="7EC90C68" w:rsidR="005241E6" w:rsidRDefault="005241E6" w:rsidP="00055CAD">
      <w:pPr>
        <w:spacing w:after="20" w:line="240" w:lineRule="auto"/>
        <w:jc w:val="both"/>
        <w:rPr>
          <w:rFonts w:cs="Times New Roman"/>
          <w:b/>
          <w:bCs/>
          <w:szCs w:val="24"/>
          <w:lang w:val="el-GR"/>
        </w:rPr>
      </w:pPr>
      <w:r>
        <w:rPr>
          <w:rFonts w:cs="Times New Roman"/>
          <w:b/>
          <w:bCs/>
          <w:szCs w:val="24"/>
          <w:lang w:val="el-GR"/>
        </w:rPr>
        <w:lastRenderedPageBreak/>
        <w:t xml:space="preserve">ΕΥΧΑΡΙΣΤΙΕΣ: </w:t>
      </w:r>
    </w:p>
    <w:p w14:paraId="01EDE4CD" w14:textId="1A258E21" w:rsidR="006531A6" w:rsidRPr="006531A6" w:rsidRDefault="006531A6" w:rsidP="00055CAD">
      <w:pPr>
        <w:spacing w:after="20" w:line="240" w:lineRule="auto"/>
        <w:jc w:val="both"/>
        <w:rPr>
          <w:rFonts w:cs="Times New Roman"/>
          <w:bCs/>
          <w:szCs w:val="24"/>
          <w:lang w:val="el-GR"/>
        </w:rPr>
      </w:pPr>
      <w:r w:rsidRPr="006531A6">
        <w:rPr>
          <w:rFonts w:cs="Times New Roman"/>
          <w:bCs/>
          <w:szCs w:val="24"/>
          <w:lang w:val="el-GR"/>
        </w:rPr>
        <w:t xml:space="preserve">Η έρευνα αυτή συγχρηματοδοτήθηκε από την Ευρωπαϊκή Ένωση και </w:t>
      </w:r>
      <w:r w:rsidR="0059442B">
        <w:rPr>
          <w:rFonts w:cs="Times New Roman"/>
          <w:bCs/>
          <w:szCs w:val="24"/>
          <w:lang w:val="el-GR"/>
        </w:rPr>
        <w:t>Εθνικ</w:t>
      </w:r>
      <w:r w:rsidR="0059442B">
        <w:rPr>
          <w:rFonts w:cs="Times New Roman"/>
          <w:bCs/>
          <w:szCs w:val="24"/>
          <w:lang w:val="en-US"/>
        </w:rPr>
        <w:t>o</w:t>
      </w:r>
      <w:r w:rsidR="0059442B">
        <w:rPr>
          <w:rFonts w:cs="Times New Roman"/>
          <w:bCs/>
          <w:szCs w:val="24"/>
          <w:lang w:val="el-GR"/>
        </w:rPr>
        <w:t xml:space="preserve">ύς πόρους </w:t>
      </w:r>
      <w:r w:rsidRPr="006531A6">
        <w:rPr>
          <w:rFonts w:cs="Times New Roman"/>
          <w:bCs/>
          <w:szCs w:val="24"/>
          <w:lang w:val="el-GR"/>
        </w:rPr>
        <w:t>μέσω του Προγράμματος Ανταγωνιστικότητα, Επιχειρηματικότητα και Καινοτομία, στο πλαίσιο της πρόσκλησης ERA-NETS 2018 (κωδικός έργου: Τ8ΑΡΑ2-00005).</w:t>
      </w:r>
    </w:p>
    <w:p w14:paraId="466BE683" w14:textId="77777777" w:rsidR="006531A6" w:rsidRDefault="006531A6" w:rsidP="00196DF7">
      <w:pPr>
        <w:spacing w:after="20" w:line="240" w:lineRule="auto"/>
        <w:jc w:val="both"/>
        <w:rPr>
          <w:rFonts w:cs="Times New Roman"/>
          <w:b/>
          <w:bCs/>
          <w:szCs w:val="24"/>
          <w:lang w:val="el-GR"/>
        </w:rPr>
      </w:pPr>
    </w:p>
    <w:p w14:paraId="49A04CB6" w14:textId="77777777" w:rsidR="006F429A" w:rsidRPr="00241400" w:rsidRDefault="000E7582" w:rsidP="006F429A">
      <w:pPr>
        <w:widowControl w:val="0"/>
        <w:autoSpaceDE w:val="0"/>
        <w:autoSpaceDN w:val="0"/>
        <w:adjustRightInd w:val="0"/>
        <w:spacing w:after="20" w:line="240" w:lineRule="auto"/>
        <w:ind w:left="640" w:hanging="640"/>
        <w:rPr>
          <w:rFonts w:cs="Times New Roman"/>
          <w:b/>
          <w:bCs/>
          <w:szCs w:val="24"/>
          <w:lang w:val="en-US"/>
        </w:rPr>
      </w:pPr>
      <w:r>
        <w:rPr>
          <w:rFonts w:cs="Times New Roman"/>
          <w:b/>
          <w:bCs/>
          <w:szCs w:val="24"/>
          <w:lang w:val="el-GR"/>
        </w:rPr>
        <w:t>ΑΝΑΦΟΡΕΣ</w:t>
      </w:r>
    </w:p>
    <w:p w14:paraId="00DA03EB" w14:textId="5777BF24" w:rsidR="006F429A" w:rsidRPr="006F429A" w:rsidRDefault="00D25617" w:rsidP="006F429A">
      <w:pPr>
        <w:widowControl w:val="0"/>
        <w:autoSpaceDE w:val="0"/>
        <w:autoSpaceDN w:val="0"/>
        <w:adjustRightInd w:val="0"/>
        <w:spacing w:after="20" w:line="240" w:lineRule="auto"/>
        <w:ind w:left="640" w:hanging="640"/>
        <w:rPr>
          <w:rFonts w:ascii="Calibri" w:hAnsi="Calibri" w:cs="Calibri"/>
          <w:noProof/>
          <w:szCs w:val="24"/>
        </w:rPr>
      </w:pPr>
      <w:r>
        <w:rPr>
          <w:rFonts w:cs="Times New Roman"/>
          <w:b/>
          <w:bCs/>
          <w:szCs w:val="24"/>
          <w:lang w:val="el-GR"/>
        </w:rPr>
        <w:fldChar w:fldCharType="begin" w:fldLock="1"/>
      </w:r>
      <w:r w:rsidRPr="00750570">
        <w:rPr>
          <w:rFonts w:cs="Times New Roman"/>
          <w:b/>
          <w:bCs/>
          <w:szCs w:val="24"/>
          <w:lang w:val="en-US"/>
        </w:rPr>
        <w:instrText xml:space="preserve">ADDIN Mendeley Bibliography CSL_BIBLIOGRAPHY </w:instrText>
      </w:r>
      <w:r>
        <w:rPr>
          <w:rFonts w:cs="Times New Roman"/>
          <w:b/>
          <w:bCs/>
          <w:szCs w:val="24"/>
          <w:lang w:val="el-GR"/>
        </w:rPr>
        <w:fldChar w:fldCharType="separate"/>
      </w:r>
      <w:r w:rsidR="006F429A" w:rsidRPr="006F429A">
        <w:rPr>
          <w:rFonts w:ascii="Calibri" w:hAnsi="Calibri" w:cs="Calibri"/>
          <w:noProof/>
          <w:szCs w:val="24"/>
        </w:rPr>
        <w:t>[1]</w:t>
      </w:r>
      <w:r w:rsidR="006F429A" w:rsidRPr="006F429A">
        <w:rPr>
          <w:rFonts w:ascii="Calibri" w:hAnsi="Calibri" w:cs="Calibri"/>
          <w:noProof/>
          <w:szCs w:val="24"/>
        </w:rPr>
        <w:tab/>
        <w:t xml:space="preserve">Directorate-General for Research and Innovation (European Commission). Europe’s 2030 climate and energy targets. Research &amp; innovation actions </w:t>
      </w:r>
      <w:r w:rsidR="0072797E" w:rsidRPr="0072797E">
        <w:rPr>
          <w:rFonts w:ascii="Calibri" w:hAnsi="Calibri" w:cs="Calibri"/>
          <w:noProof/>
          <w:szCs w:val="24"/>
          <w:lang w:val="en-US"/>
        </w:rPr>
        <w:t>(</w:t>
      </w:r>
      <w:r w:rsidR="006F429A" w:rsidRPr="006F429A">
        <w:rPr>
          <w:rFonts w:ascii="Calibri" w:hAnsi="Calibri" w:cs="Calibri"/>
          <w:noProof/>
          <w:szCs w:val="24"/>
        </w:rPr>
        <w:t>2021</w:t>
      </w:r>
      <w:r w:rsidR="0072797E" w:rsidRPr="0072797E">
        <w:rPr>
          <w:rFonts w:ascii="Calibri" w:hAnsi="Calibri" w:cs="Calibri"/>
          <w:noProof/>
          <w:szCs w:val="24"/>
          <w:lang w:val="en-US"/>
        </w:rPr>
        <w:t xml:space="preserve">). </w:t>
      </w:r>
      <w:r w:rsidR="006F429A" w:rsidRPr="006F429A">
        <w:rPr>
          <w:rFonts w:ascii="Calibri" w:hAnsi="Calibri" w:cs="Calibri"/>
          <w:noProof/>
          <w:szCs w:val="24"/>
        </w:rPr>
        <w:t>3.</w:t>
      </w:r>
    </w:p>
    <w:p w14:paraId="46D4FEDA" w14:textId="5F85C8CB" w:rsidR="006F429A" w:rsidRPr="006F429A" w:rsidRDefault="006F429A" w:rsidP="006F429A">
      <w:pPr>
        <w:widowControl w:val="0"/>
        <w:autoSpaceDE w:val="0"/>
        <w:autoSpaceDN w:val="0"/>
        <w:adjustRightInd w:val="0"/>
        <w:spacing w:after="20" w:line="240" w:lineRule="auto"/>
        <w:ind w:left="640" w:hanging="640"/>
        <w:rPr>
          <w:rFonts w:ascii="Calibri" w:hAnsi="Calibri" w:cs="Calibri"/>
          <w:noProof/>
          <w:szCs w:val="24"/>
        </w:rPr>
      </w:pPr>
      <w:r w:rsidRPr="006F429A">
        <w:rPr>
          <w:rFonts w:ascii="Calibri" w:hAnsi="Calibri" w:cs="Calibri"/>
          <w:noProof/>
          <w:szCs w:val="24"/>
        </w:rPr>
        <w:t>[2]</w:t>
      </w:r>
      <w:r w:rsidRPr="006F429A">
        <w:rPr>
          <w:rFonts w:ascii="Calibri" w:hAnsi="Calibri" w:cs="Calibri"/>
          <w:noProof/>
          <w:szCs w:val="24"/>
        </w:rPr>
        <w:tab/>
        <w:t>Alatzas S, Moustakas K, Malamis D, Vakalis S. Biomass potential from agricultural waste for energetic utilization in Greece.</w:t>
      </w:r>
      <w:r w:rsidR="0072797E" w:rsidRPr="0072797E">
        <w:rPr>
          <w:rFonts w:ascii="Calibri" w:hAnsi="Calibri" w:cs="Calibri"/>
          <w:noProof/>
          <w:szCs w:val="24"/>
          <w:lang w:val="en-US"/>
        </w:rPr>
        <w:t xml:space="preserve"> (2019).</w:t>
      </w:r>
      <w:r w:rsidRPr="006F429A">
        <w:rPr>
          <w:rFonts w:ascii="Calibri" w:hAnsi="Calibri" w:cs="Calibri"/>
          <w:noProof/>
          <w:szCs w:val="24"/>
        </w:rPr>
        <w:t xml:space="preserve"> </w:t>
      </w:r>
      <w:r w:rsidRPr="0072797E">
        <w:rPr>
          <w:rFonts w:ascii="Calibri" w:hAnsi="Calibri" w:cs="Calibri"/>
          <w:i/>
          <w:noProof/>
          <w:szCs w:val="24"/>
        </w:rPr>
        <w:t>Energies</w:t>
      </w:r>
      <w:r w:rsidR="0072797E" w:rsidRPr="0072797E">
        <w:rPr>
          <w:rFonts w:ascii="Calibri" w:hAnsi="Calibri" w:cs="Calibri"/>
          <w:i/>
          <w:noProof/>
          <w:szCs w:val="24"/>
          <w:lang w:val="en-US"/>
        </w:rPr>
        <w:t>.</w:t>
      </w:r>
      <w:r w:rsidR="00221B50" w:rsidRPr="00A34EA5">
        <w:rPr>
          <w:rFonts w:ascii="Calibri" w:hAnsi="Calibri" w:cs="Calibri"/>
          <w:i/>
          <w:noProof/>
          <w:szCs w:val="24"/>
          <w:lang w:val="en-US"/>
        </w:rPr>
        <w:t xml:space="preserve"> </w:t>
      </w:r>
      <w:r w:rsidRPr="006F429A">
        <w:rPr>
          <w:rFonts w:ascii="Calibri" w:hAnsi="Calibri" w:cs="Calibri"/>
          <w:noProof/>
          <w:szCs w:val="24"/>
        </w:rPr>
        <w:t>12</w:t>
      </w:r>
      <w:r w:rsidR="0072797E" w:rsidRPr="0072797E">
        <w:rPr>
          <w:rFonts w:ascii="Calibri" w:hAnsi="Calibri" w:cs="Calibri"/>
          <w:noProof/>
          <w:szCs w:val="24"/>
          <w:lang w:val="en-US"/>
        </w:rPr>
        <w:t xml:space="preserve"> (6): 1095</w:t>
      </w:r>
      <w:r w:rsidRPr="006F429A">
        <w:rPr>
          <w:rFonts w:ascii="Calibri" w:hAnsi="Calibri" w:cs="Calibri"/>
          <w:noProof/>
          <w:szCs w:val="24"/>
        </w:rPr>
        <w:t>.</w:t>
      </w:r>
    </w:p>
    <w:p w14:paraId="7441B8AD" w14:textId="5D3594CE" w:rsidR="006F429A" w:rsidRPr="006F429A" w:rsidRDefault="006F429A" w:rsidP="006F429A">
      <w:pPr>
        <w:widowControl w:val="0"/>
        <w:autoSpaceDE w:val="0"/>
        <w:autoSpaceDN w:val="0"/>
        <w:adjustRightInd w:val="0"/>
        <w:spacing w:after="20" w:line="240" w:lineRule="auto"/>
        <w:ind w:left="640" w:hanging="640"/>
        <w:rPr>
          <w:rFonts w:ascii="Calibri" w:hAnsi="Calibri" w:cs="Calibri"/>
          <w:noProof/>
          <w:szCs w:val="24"/>
        </w:rPr>
      </w:pPr>
      <w:r w:rsidRPr="006F429A">
        <w:rPr>
          <w:rFonts w:ascii="Calibri" w:hAnsi="Calibri" w:cs="Calibri"/>
          <w:noProof/>
          <w:szCs w:val="24"/>
        </w:rPr>
        <w:t>[3]</w:t>
      </w:r>
      <w:r w:rsidRPr="006F429A">
        <w:rPr>
          <w:rFonts w:ascii="Calibri" w:hAnsi="Calibri" w:cs="Calibri"/>
          <w:noProof/>
          <w:szCs w:val="24"/>
        </w:rPr>
        <w:tab/>
        <w:t>Vourdoubas J.</w:t>
      </w:r>
      <w:r w:rsidR="0072797E" w:rsidRPr="0072797E">
        <w:rPr>
          <w:rFonts w:ascii="Calibri" w:hAnsi="Calibri" w:cs="Calibri"/>
          <w:noProof/>
          <w:szCs w:val="24"/>
          <w:lang w:val="en-US"/>
        </w:rPr>
        <w:t xml:space="preserve"> (2020).</w:t>
      </w:r>
      <w:r w:rsidRPr="006F429A">
        <w:rPr>
          <w:rFonts w:ascii="Calibri" w:hAnsi="Calibri" w:cs="Calibri"/>
          <w:noProof/>
          <w:szCs w:val="24"/>
        </w:rPr>
        <w:t xml:space="preserve"> </w:t>
      </w:r>
      <w:r w:rsidRPr="0072797E">
        <w:rPr>
          <w:rFonts w:ascii="Calibri" w:hAnsi="Calibri" w:cs="Calibri"/>
          <w:i/>
          <w:noProof/>
          <w:szCs w:val="24"/>
        </w:rPr>
        <w:t>Eur J Environ Earth Sci</w:t>
      </w:r>
      <w:r w:rsidR="0072797E" w:rsidRPr="0072797E">
        <w:rPr>
          <w:rFonts w:ascii="Calibri" w:hAnsi="Calibri" w:cs="Calibri"/>
          <w:noProof/>
          <w:szCs w:val="24"/>
          <w:lang w:val="en-US"/>
        </w:rPr>
        <w:t xml:space="preserve">. </w:t>
      </w:r>
      <w:r w:rsidRPr="006F429A">
        <w:rPr>
          <w:rFonts w:ascii="Calibri" w:hAnsi="Calibri" w:cs="Calibri"/>
          <w:noProof/>
          <w:szCs w:val="24"/>
        </w:rPr>
        <w:t>1:</w:t>
      </w:r>
      <w:r w:rsidR="0072797E" w:rsidRPr="0072797E">
        <w:rPr>
          <w:rFonts w:ascii="Calibri" w:hAnsi="Calibri" w:cs="Calibri"/>
          <w:noProof/>
          <w:szCs w:val="24"/>
          <w:lang w:val="en-US"/>
        </w:rPr>
        <w:t xml:space="preserve"> </w:t>
      </w:r>
      <w:r w:rsidRPr="006F429A">
        <w:rPr>
          <w:rFonts w:ascii="Calibri" w:hAnsi="Calibri" w:cs="Calibri"/>
          <w:noProof/>
          <w:szCs w:val="24"/>
        </w:rPr>
        <w:t xml:space="preserve">1–7. </w:t>
      </w:r>
    </w:p>
    <w:p w14:paraId="1856B518" w14:textId="30234688" w:rsidR="006F429A" w:rsidRPr="006F429A" w:rsidRDefault="006F429A" w:rsidP="006F429A">
      <w:pPr>
        <w:widowControl w:val="0"/>
        <w:autoSpaceDE w:val="0"/>
        <w:autoSpaceDN w:val="0"/>
        <w:adjustRightInd w:val="0"/>
        <w:spacing w:after="20" w:line="240" w:lineRule="auto"/>
        <w:ind w:left="640" w:hanging="640"/>
        <w:rPr>
          <w:rFonts w:ascii="Calibri" w:hAnsi="Calibri" w:cs="Calibri"/>
          <w:noProof/>
          <w:szCs w:val="24"/>
        </w:rPr>
      </w:pPr>
      <w:r w:rsidRPr="006F429A">
        <w:rPr>
          <w:rFonts w:ascii="Calibri" w:hAnsi="Calibri" w:cs="Calibri"/>
          <w:noProof/>
          <w:szCs w:val="24"/>
        </w:rPr>
        <w:t>[4]</w:t>
      </w:r>
      <w:r w:rsidRPr="006F429A">
        <w:rPr>
          <w:rFonts w:ascii="Calibri" w:hAnsi="Calibri" w:cs="Calibri"/>
          <w:noProof/>
          <w:szCs w:val="24"/>
        </w:rPr>
        <w:tab/>
        <w:t>Vourdoubas J.</w:t>
      </w:r>
      <w:r w:rsidR="00221B50" w:rsidRPr="00221B50">
        <w:rPr>
          <w:rFonts w:ascii="Calibri" w:hAnsi="Calibri" w:cs="Calibri"/>
          <w:noProof/>
          <w:szCs w:val="24"/>
          <w:lang w:val="en-US"/>
        </w:rPr>
        <w:t>(2017)</w:t>
      </w:r>
      <w:r w:rsidRPr="006F429A">
        <w:rPr>
          <w:rFonts w:ascii="Calibri" w:hAnsi="Calibri" w:cs="Calibri"/>
          <w:noProof/>
          <w:szCs w:val="24"/>
        </w:rPr>
        <w:t xml:space="preserve">. </w:t>
      </w:r>
      <w:r w:rsidRPr="00221B50">
        <w:rPr>
          <w:rFonts w:ascii="Calibri" w:hAnsi="Calibri" w:cs="Calibri"/>
          <w:i/>
          <w:noProof/>
          <w:szCs w:val="24"/>
        </w:rPr>
        <w:t>Open J Energy Effic</w:t>
      </w:r>
      <w:r w:rsidR="00221B50" w:rsidRPr="00221B50">
        <w:rPr>
          <w:rFonts w:ascii="Calibri" w:hAnsi="Calibri" w:cs="Calibri"/>
          <w:i/>
          <w:noProof/>
          <w:szCs w:val="24"/>
          <w:lang w:val="en-US"/>
        </w:rPr>
        <w:t>.</w:t>
      </w:r>
      <w:r w:rsidR="00221B50" w:rsidRPr="00A34EA5">
        <w:rPr>
          <w:rFonts w:ascii="Calibri" w:hAnsi="Calibri" w:cs="Calibri"/>
          <w:noProof/>
          <w:szCs w:val="24"/>
          <w:lang w:val="en-US"/>
        </w:rPr>
        <w:t xml:space="preserve"> </w:t>
      </w:r>
      <w:r w:rsidRPr="006F429A">
        <w:rPr>
          <w:rFonts w:ascii="Calibri" w:hAnsi="Calibri" w:cs="Calibri"/>
          <w:noProof/>
          <w:szCs w:val="24"/>
        </w:rPr>
        <w:t>06:</w:t>
      </w:r>
      <w:r w:rsidR="00221B50" w:rsidRPr="00A34EA5">
        <w:rPr>
          <w:rFonts w:ascii="Calibri" w:hAnsi="Calibri" w:cs="Calibri"/>
          <w:noProof/>
          <w:szCs w:val="24"/>
          <w:lang w:val="en-US"/>
        </w:rPr>
        <w:t xml:space="preserve"> </w:t>
      </w:r>
      <w:r w:rsidRPr="006F429A">
        <w:rPr>
          <w:rFonts w:ascii="Calibri" w:hAnsi="Calibri" w:cs="Calibri"/>
          <w:noProof/>
          <w:szCs w:val="24"/>
        </w:rPr>
        <w:t xml:space="preserve">97–111. </w:t>
      </w:r>
    </w:p>
    <w:p w14:paraId="516E1117" w14:textId="097DA05C" w:rsidR="006F429A" w:rsidRPr="006F429A" w:rsidRDefault="006F429A" w:rsidP="006F429A">
      <w:pPr>
        <w:widowControl w:val="0"/>
        <w:autoSpaceDE w:val="0"/>
        <w:autoSpaceDN w:val="0"/>
        <w:adjustRightInd w:val="0"/>
        <w:spacing w:after="20" w:line="240" w:lineRule="auto"/>
        <w:ind w:left="640" w:hanging="640"/>
        <w:rPr>
          <w:rFonts w:ascii="Calibri" w:hAnsi="Calibri" w:cs="Calibri"/>
          <w:noProof/>
        </w:rPr>
      </w:pPr>
      <w:r w:rsidRPr="006F429A">
        <w:rPr>
          <w:rFonts w:ascii="Calibri" w:hAnsi="Calibri" w:cs="Calibri"/>
          <w:noProof/>
          <w:szCs w:val="24"/>
        </w:rPr>
        <w:t>[5]</w:t>
      </w:r>
      <w:r w:rsidRPr="006F429A">
        <w:rPr>
          <w:rFonts w:ascii="Calibri" w:hAnsi="Calibri" w:cs="Calibri"/>
          <w:noProof/>
          <w:szCs w:val="24"/>
        </w:rPr>
        <w:tab/>
        <w:t>Lampropoulos A, Kaklidis N, Athanasiou C, Montes-Morán MA, Arenillas A, Menéndez JA, et al.</w:t>
      </w:r>
      <w:r>
        <w:rPr>
          <w:rFonts w:ascii="Calibri" w:hAnsi="Calibri" w:cs="Calibri"/>
          <w:noProof/>
          <w:szCs w:val="24"/>
        </w:rPr>
        <w:t xml:space="preserve"> </w:t>
      </w:r>
      <w:r w:rsidR="0009288A">
        <w:rPr>
          <w:rFonts w:ascii="Calibri" w:hAnsi="Calibri" w:cs="Calibri"/>
          <w:noProof/>
          <w:szCs w:val="24"/>
          <w:lang w:val="el-GR"/>
        </w:rPr>
        <w:t>(</w:t>
      </w:r>
      <w:r>
        <w:rPr>
          <w:rFonts w:ascii="Calibri" w:hAnsi="Calibri" w:cs="Calibri"/>
          <w:noProof/>
          <w:szCs w:val="24"/>
        </w:rPr>
        <w:t>2020</w:t>
      </w:r>
      <w:r w:rsidR="0009288A">
        <w:rPr>
          <w:rFonts w:ascii="Calibri" w:hAnsi="Calibri" w:cs="Calibri"/>
          <w:noProof/>
          <w:szCs w:val="24"/>
          <w:lang w:val="el-GR"/>
        </w:rPr>
        <w:t>)</w:t>
      </w:r>
      <w:r>
        <w:rPr>
          <w:rFonts w:ascii="Calibri" w:hAnsi="Calibri" w:cs="Calibri"/>
          <w:noProof/>
          <w:szCs w:val="24"/>
        </w:rPr>
        <w:t>.</w:t>
      </w:r>
      <w:r w:rsidRPr="006F429A">
        <w:rPr>
          <w:rFonts w:ascii="Calibri" w:hAnsi="Calibri" w:cs="Calibri"/>
          <w:noProof/>
          <w:szCs w:val="24"/>
        </w:rPr>
        <w:t xml:space="preserve"> </w:t>
      </w:r>
      <w:r w:rsidRPr="0009288A">
        <w:rPr>
          <w:rFonts w:ascii="Calibri" w:hAnsi="Calibri" w:cs="Calibri"/>
          <w:i/>
          <w:noProof/>
          <w:szCs w:val="24"/>
        </w:rPr>
        <w:t>Int J Hydrogen Energy</w:t>
      </w:r>
      <w:r w:rsidR="0009288A">
        <w:rPr>
          <w:rFonts w:ascii="Calibri" w:hAnsi="Calibri" w:cs="Calibri"/>
          <w:noProof/>
          <w:szCs w:val="24"/>
          <w:lang w:val="el-GR"/>
        </w:rPr>
        <w:t xml:space="preserve">. 46 (57): </w:t>
      </w:r>
      <w:r w:rsidR="0009288A" w:rsidRPr="0009288A">
        <w:rPr>
          <w:rFonts w:ascii="Calibri" w:hAnsi="Calibri" w:cs="Calibri"/>
          <w:noProof/>
          <w:szCs w:val="24"/>
          <w:lang w:val="el-GR"/>
        </w:rPr>
        <w:t>29126-29141</w:t>
      </w:r>
      <w:r w:rsidRPr="006F429A">
        <w:rPr>
          <w:rFonts w:ascii="Calibri" w:hAnsi="Calibri" w:cs="Calibri"/>
          <w:noProof/>
          <w:szCs w:val="24"/>
        </w:rPr>
        <w:t xml:space="preserve">. </w:t>
      </w:r>
    </w:p>
    <w:p w14:paraId="1D7BAB28" w14:textId="29F87DD0" w:rsidR="004F7B38" w:rsidRPr="004F7B38" w:rsidRDefault="00D25617" w:rsidP="00055CAD">
      <w:pPr>
        <w:spacing w:after="20" w:line="240" w:lineRule="auto"/>
        <w:jc w:val="both"/>
        <w:rPr>
          <w:rFonts w:cs="Times New Roman"/>
          <w:b/>
          <w:bCs/>
          <w:szCs w:val="24"/>
          <w:lang w:val="el-GR"/>
        </w:rPr>
      </w:pPr>
      <w:r>
        <w:rPr>
          <w:rFonts w:cs="Times New Roman"/>
          <w:b/>
          <w:bCs/>
          <w:szCs w:val="24"/>
          <w:lang w:val="el-GR"/>
        </w:rPr>
        <w:fldChar w:fldCharType="end"/>
      </w:r>
    </w:p>
    <w:sectPr w:rsidR="004F7B38" w:rsidRPr="004F7B38" w:rsidSect="000323E8">
      <w:headerReference w:type="default" r:id="rId8"/>
      <w:footerReference w:type="default" r:id="rId9"/>
      <w:pgSz w:w="11906" w:h="16838"/>
      <w:pgMar w:top="1134" w:right="1134" w:bottom="113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C53E0" w16cex:dateUtc="2022-01-02T10: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DD4F9F" w16cid:durableId="257C53E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5A1B1" w14:textId="77777777" w:rsidR="00DA47DB" w:rsidRDefault="00DA47DB" w:rsidP="00B10FCD">
      <w:pPr>
        <w:spacing w:after="0" w:line="240" w:lineRule="auto"/>
      </w:pPr>
      <w:r>
        <w:separator/>
      </w:r>
    </w:p>
  </w:endnote>
  <w:endnote w:type="continuationSeparator" w:id="0">
    <w:p w14:paraId="35E54F03" w14:textId="77777777" w:rsidR="00DA47DB" w:rsidRDefault="00DA47DB" w:rsidP="00B10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0763091"/>
      <w:docPartObj>
        <w:docPartGallery w:val="Page Numbers (Bottom of Page)"/>
        <w:docPartUnique/>
      </w:docPartObj>
    </w:sdtPr>
    <w:sdtEndPr/>
    <w:sdtContent>
      <w:p w14:paraId="18260381" w14:textId="4E7F6188" w:rsidR="0027478C" w:rsidRDefault="0027478C">
        <w:pPr>
          <w:pStyle w:val="Footer"/>
        </w:pPr>
        <w:r w:rsidRPr="00670DAB">
          <w:rPr>
            <w:b/>
            <w:bCs/>
            <w:sz w:val="18"/>
            <w:szCs w:val="16"/>
          </w:rPr>
          <w:fldChar w:fldCharType="begin"/>
        </w:r>
        <w:r w:rsidRPr="00670DAB">
          <w:rPr>
            <w:b/>
            <w:bCs/>
            <w:sz w:val="18"/>
            <w:szCs w:val="16"/>
          </w:rPr>
          <w:instrText>PAGE   \* MERGEFORMAT</w:instrText>
        </w:r>
        <w:r w:rsidRPr="00670DAB">
          <w:rPr>
            <w:b/>
            <w:bCs/>
            <w:sz w:val="18"/>
            <w:szCs w:val="16"/>
          </w:rPr>
          <w:fldChar w:fldCharType="separate"/>
        </w:r>
        <w:r w:rsidR="00A34EA5" w:rsidRPr="00A34EA5">
          <w:rPr>
            <w:b/>
            <w:bCs/>
            <w:noProof/>
            <w:sz w:val="18"/>
            <w:szCs w:val="16"/>
            <w:lang w:val="el-GR"/>
          </w:rPr>
          <w:t>2</w:t>
        </w:r>
        <w:r w:rsidRPr="00670DAB">
          <w:rPr>
            <w:b/>
            <w:bCs/>
            <w:sz w:val="18"/>
            <w:szCs w:val="16"/>
          </w:rPr>
          <w:fldChar w:fldCharType="end"/>
        </w:r>
      </w:p>
    </w:sdtContent>
  </w:sdt>
  <w:p w14:paraId="45967E07" w14:textId="77777777" w:rsidR="00C55D63" w:rsidRDefault="00C55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F2FBD" w14:textId="77777777" w:rsidR="00DA47DB" w:rsidRDefault="00DA47DB" w:rsidP="00B10FCD">
      <w:pPr>
        <w:spacing w:after="0" w:line="240" w:lineRule="auto"/>
      </w:pPr>
      <w:r>
        <w:separator/>
      </w:r>
    </w:p>
  </w:footnote>
  <w:footnote w:type="continuationSeparator" w:id="0">
    <w:p w14:paraId="5550F4DF" w14:textId="77777777" w:rsidR="00DA47DB" w:rsidRDefault="00DA47DB" w:rsidP="00B10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641FC" w14:textId="1A2029F3" w:rsidR="005412D6" w:rsidRPr="00C55D63" w:rsidRDefault="00C04EBD" w:rsidP="004225FE">
    <w:pPr>
      <w:pStyle w:val="Header"/>
      <w:pBdr>
        <w:bottom w:val="single" w:sz="4" w:space="1" w:color="auto"/>
      </w:pBdr>
      <w:tabs>
        <w:tab w:val="clear" w:pos="8306"/>
        <w:tab w:val="right" w:pos="9630"/>
      </w:tabs>
      <w:rPr>
        <w:rFonts w:cs="Times New Roman"/>
        <w:b/>
        <w:szCs w:val="24"/>
        <w:lang w:val="el-GR"/>
      </w:rPr>
    </w:pPr>
    <w:r w:rsidRPr="00C55D63">
      <w:rPr>
        <w:rFonts w:cs="Times New Roman"/>
        <w:b/>
        <w:sz w:val="18"/>
        <w:szCs w:val="18"/>
        <w:lang w:val="el-GR"/>
      </w:rPr>
      <w:t>1</w:t>
    </w:r>
    <w:r w:rsidR="00DA5472" w:rsidRPr="00C55D63">
      <w:rPr>
        <w:rFonts w:cs="Times New Roman"/>
        <w:b/>
        <w:sz w:val="18"/>
        <w:szCs w:val="18"/>
        <w:lang w:val="el-GR"/>
      </w:rPr>
      <w:t>3</w:t>
    </w:r>
    <w:r w:rsidRPr="00C55D63">
      <w:rPr>
        <w:rFonts w:cs="Times New Roman"/>
        <w:b/>
        <w:sz w:val="18"/>
        <w:szCs w:val="18"/>
        <w:vertAlign w:val="superscript"/>
        <w:lang w:val="en-US"/>
      </w:rPr>
      <w:t>o</w:t>
    </w:r>
    <w:r w:rsidRPr="00C55D63">
      <w:rPr>
        <w:rFonts w:cs="Times New Roman"/>
        <w:b/>
        <w:sz w:val="18"/>
        <w:szCs w:val="18"/>
        <w:lang w:val="el-GR"/>
      </w:rPr>
      <w:t xml:space="preserve"> Πανελλήνιο Επιστημονικό Συνέδριο Χημικής Μηχανικής</w:t>
    </w:r>
    <w:r w:rsidRPr="00C55D63">
      <w:rPr>
        <w:rFonts w:cs="Times New Roman"/>
        <w:b/>
        <w:szCs w:val="24"/>
        <w:lang w:val="el-GR"/>
      </w:rPr>
      <w:tab/>
      <w:t xml:space="preserve">      </w:t>
    </w:r>
    <w:r w:rsidR="00DA5472" w:rsidRPr="00C55D63">
      <w:rPr>
        <w:rFonts w:cs="Times New Roman"/>
        <w:b/>
        <w:sz w:val="18"/>
        <w:szCs w:val="18"/>
        <w:lang w:val="el-GR"/>
      </w:rPr>
      <w:t>Πάτρα</w:t>
    </w:r>
    <w:r w:rsidRPr="00C55D63">
      <w:rPr>
        <w:rFonts w:cs="Times New Roman"/>
        <w:b/>
        <w:sz w:val="18"/>
        <w:szCs w:val="18"/>
        <w:lang w:val="el-GR"/>
      </w:rPr>
      <w:t xml:space="preserve">, </w:t>
    </w:r>
    <w:r w:rsidR="00DA5472" w:rsidRPr="00C55D63">
      <w:rPr>
        <w:rFonts w:cs="Times New Roman"/>
        <w:b/>
        <w:sz w:val="18"/>
        <w:szCs w:val="18"/>
        <w:lang w:val="el-GR"/>
      </w:rPr>
      <w:t>2</w:t>
    </w:r>
    <w:r w:rsidRPr="00C55D63">
      <w:rPr>
        <w:rFonts w:cs="Times New Roman"/>
        <w:b/>
        <w:sz w:val="18"/>
        <w:szCs w:val="18"/>
        <w:lang w:val="el-GR"/>
      </w:rPr>
      <w:t>-</w:t>
    </w:r>
    <w:r w:rsidR="00DA5472" w:rsidRPr="00C55D63">
      <w:rPr>
        <w:rFonts w:cs="Times New Roman"/>
        <w:b/>
        <w:sz w:val="18"/>
        <w:szCs w:val="18"/>
        <w:lang w:val="el-GR"/>
      </w:rPr>
      <w:t>4 Ιουνίου</w:t>
    </w:r>
    <w:r w:rsidRPr="00C55D63">
      <w:rPr>
        <w:rFonts w:cs="Times New Roman"/>
        <w:b/>
        <w:sz w:val="18"/>
        <w:szCs w:val="18"/>
        <w:lang w:val="el-GR"/>
      </w:rPr>
      <w:t xml:space="preserve"> 20</w:t>
    </w:r>
    <w:r w:rsidR="00DA5472" w:rsidRPr="00C55D63">
      <w:rPr>
        <w:rFonts w:cs="Times New Roman"/>
        <w:b/>
        <w:sz w:val="18"/>
        <w:szCs w:val="18"/>
        <w:lang w:val="el-GR"/>
      </w:rPr>
      <w:t>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604DCD"/>
    <w:multiLevelType w:val="singleLevel"/>
    <w:tmpl w:val="9E9AE636"/>
    <w:lvl w:ilvl="0">
      <w:start w:val="1"/>
      <w:numFmt w:val="decimal"/>
      <w:pStyle w:val="Reference"/>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Q0sjQ3NzQwNDE0MTdR0lEKTi0uzszPAykwrAUASCnOpywAAAA="/>
  </w:docVars>
  <w:rsids>
    <w:rsidRoot w:val="002937B1"/>
    <w:rsid w:val="00007CC3"/>
    <w:rsid w:val="00055CAD"/>
    <w:rsid w:val="00057860"/>
    <w:rsid w:val="0009288A"/>
    <w:rsid w:val="000B0BA0"/>
    <w:rsid w:val="000B681D"/>
    <w:rsid w:val="000E7582"/>
    <w:rsid w:val="000F6701"/>
    <w:rsid w:val="001101D3"/>
    <w:rsid w:val="0012115E"/>
    <w:rsid w:val="001327BE"/>
    <w:rsid w:val="00134726"/>
    <w:rsid w:val="00137B0D"/>
    <w:rsid w:val="00180518"/>
    <w:rsid w:val="00196DF7"/>
    <w:rsid w:val="001C100F"/>
    <w:rsid w:val="00221B50"/>
    <w:rsid w:val="00232713"/>
    <w:rsid w:val="00241400"/>
    <w:rsid w:val="00257888"/>
    <w:rsid w:val="002607CE"/>
    <w:rsid w:val="002725EB"/>
    <w:rsid w:val="0027478C"/>
    <w:rsid w:val="00285072"/>
    <w:rsid w:val="002937B1"/>
    <w:rsid w:val="002938E7"/>
    <w:rsid w:val="002B13CB"/>
    <w:rsid w:val="002E701A"/>
    <w:rsid w:val="00331975"/>
    <w:rsid w:val="00353B5D"/>
    <w:rsid w:val="0044697B"/>
    <w:rsid w:val="0044748F"/>
    <w:rsid w:val="0046347C"/>
    <w:rsid w:val="004752E9"/>
    <w:rsid w:val="00482EA0"/>
    <w:rsid w:val="004A2F6E"/>
    <w:rsid w:val="004F1ED7"/>
    <w:rsid w:val="004F7B38"/>
    <w:rsid w:val="005238EF"/>
    <w:rsid w:val="005241E6"/>
    <w:rsid w:val="005803D5"/>
    <w:rsid w:val="0059442B"/>
    <w:rsid w:val="005A4565"/>
    <w:rsid w:val="005C08B2"/>
    <w:rsid w:val="005F3FE6"/>
    <w:rsid w:val="00616605"/>
    <w:rsid w:val="0064131C"/>
    <w:rsid w:val="006531A6"/>
    <w:rsid w:val="006672B9"/>
    <w:rsid w:val="00670DAB"/>
    <w:rsid w:val="00680E6C"/>
    <w:rsid w:val="00696478"/>
    <w:rsid w:val="006F429A"/>
    <w:rsid w:val="0070346B"/>
    <w:rsid w:val="00705DF0"/>
    <w:rsid w:val="00706F70"/>
    <w:rsid w:val="00717EF8"/>
    <w:rsid w:val="007225B1"/>
    <w:rsid w:val="0072797E"/>
    <w:rsid w:val="00750570"/>
    <w:rsid w:val="0075609F"/>
    <w:rsid w:val="00777514"/>
    <w:rsid w:val="007B3250"/>
    <w:rsid w:val="008A4007"/>
    <w:rsid w:val="008B659C"/>
    <w:rsid w:val="009000E6"/>
    <w:rsid w:val="00912B9C"/>
    <w:rsid w:val="00915963"/>
    <w:rsid w:val="00935497"/>
    <w:rsid w:val="00975C43"/>
    <w:rsid w:val="009803F2"/>
    <w:rsid w:val="00997EF7"/>
    <w:rsid w:val="009C653D"/>
    <w:rsid w:val="009E089D"/>
    <w:rsid w:val="00A049E0"/>
    <w:rsid w:val="00A25103"/>
    <w:rsid w:val="00A34EA5"/>
    <w:rsid w:val="00A42DFD"/>
    <w:rsid w:val="00A75FC6"/>
    <w:rsid w:val="00A84D47"/>
    <w:rsid w:val="00AA4FE7"/>
    <w:rsid w:val="00AB16ED"/>
    <w:rsid w:val="00AD393E"/>
    <w:rsid w:val="00AF459A"/>
    <w:rsid w:val="00B10FCD"/>
    <w:rsid w:val="00B36AC7"/>
    <w:rsid w:val="00B95006"/>
    <w:rsid w:val="00BF2E15"/>
    <w:rsid w:val="00C025AA"/>
    <w:rsid w:val="00C04EBD"/>
    <w:rsid w:val="00C07544"/>
    <w:rsid w:val="00C271E2"/>
    <w:rsid w:val="00C271EF"/>
    <w:rsid w:val="00C412B9"/>
    <w:rsid w:val="00C4477A"/>
    <w:rsid w:val="00C54786"/>
    <w:rsid w:val="00C55D63"/>
    <w:rsid w:val="00C5607A"/>
    <w:rsid w:val="00C72CA1"/>
    <w:rsid w:val="00C84852"/>
    <w:rsid w:val="00CF4EEC"/>
    <w:rsid w:val="00CF5148"/>
    <w:rsid w:val="00D25617"/>
    <w:rsid w:val="00D479FA"/>
    <w:rsid w:val="00D5272E"/>
    <w:rsid w:val="00D678BE"/>
    <w:rsid w:val="00DA47DB"/>
    <w:rsid w:val="00DA5472"/>
    <w:rsid w:val="00DA697F"/>
    <w:rsid w:val="00DD550D"/>
    <w:rsid w:val="00DE346C"/>
    <w:rsid w:val="00E41308"/>
    <w:rsid w:val="00E520F0"/>
    <w:rsid w:val="00E63CAC"/>
    <w:rsid w:val="00E853C3"/>
    <w:rsid w:val="00E87E35"/>
    <w:rsid w:val="00E927A8"/>
    <w:rsid w:val="00E96DE8"/>
    <w:rsid w:val="00ED0A1D"/>
    <w:rsid w:val="00ED7AD7"/>
    <w:rsid w:val="00F72CDD"/>
    <w:rsid w:val="00F8620E"/>
    <w:rsid w:val="00FA6A15"/>
    <w:rsid w:val="00FA7E6A"/>
    <w:rsid w:val="00FB60E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1C6185"/>
  <w15:docId w15:val="{FE3569B6-9E8F-4CBB-A914-08FB087B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7B1"/>
    <w:rPr>
      <w:color w:val="000000" w:themeColor="text1"/>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7B1"/>
    <w:rPr>
      <w:color w:val="0000FF" w:themeColor="hyperlink"/>
      <w:u w:val="single"/>
    </w:rPr>
  </w:style>
  <w:style w:type="paragraph" w:styleId="Header">
    <w:name w:val="header"/>
    <w:basedOn w:val="Normal"/>
    <w:link w:val="HeaderChar"/>
    <w:uiPriority w:val="99"/>
    <w:unhideWhenUsed/>
    <w:rsid w:val="002937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37B1"/>
    <w:rPr>
      <w:color w:val="000000" w:themeColor="text1"/>
      <w:sz w:val="24"/>
      <w:lang w:val="en-GB"/>
    </w:rPr>
  </w:style>
  <w:style w:type="paragraph" w:styleId="BodyText">
    <w:name w:val="Body Text"/>
    <w:basedOn w:val="Normal"/>
    <w:link w:val="BodyTextChar"/>
    <w:rsid w:val="002937B1"/>
    <w:pPr>
      <w:spacing w:after="0" w:line="360" w:lineRule="auto"/>
      <w:jc w:val="both"/>
    </w:pPr>
    <w:rPr>
      <w:rFonts w:ascii="Bookman Old Style" w:eastAsia="Times New Roman" w:hAnsi="Bookman Old Style" w:cs="Bookman Old Style"/>
      <w:color w:val="FF0000"/>
      <w:szCs w:val="24"/>
      <w:lang w:val="el-GR" w:eastAsia="el-GR"/>
    </w:rPr>
  </w:style>
  <w:style w:type="character" w:customStyle="1" w:styleId="BodyTextChar">
    <w:name w:val="Body Text Char"/>
    <w:basedOn w:val="DefaultParagraphFont"/>
    <w:link w:val="BodyText"/>
    <w:rsid w:val="002937B1"/>
    <w:rPr>
      <w:rFonts w:ascii="Bookman Old Style" w:eastAsia="Times New Roman" w:hAnsi="Bookman Old Style" w:cs="Bookman Old Style"/>
      <w:color w:val="FF0000"/>
      <w:sz w:val="24"/>
      <w:szCs w:val="24"/>
      <w:lang w:eastAsia="el-GR"/>
    </w:rPr>
  </w:style>
  <w:style w:type="paragraph" w:customStyle="1" w:styleId="Reference">
    <w:name w:val="Reference"/>
    <w:basedOn w:val="Normal"/>
    <w:rsid w:val="002937B1"/>
    <w:pPr>
      <w:numPr>
        <w:numId w:val="1"/>
      </w:numPr>
      <w:spacing w:after="0" w:line="240" w:lineRule="exact"/>
      <w:jc w:val="both"/>
    </w:pPr>
    <w:rPr>
      <w:rFonts w:ascii="Helvetica" w:eastAsia="Times New Roman" w:hAnsi="Helvetica" w:cs="Times New Roman"/>
      <w:color w:val="auto"/>
      <w:sz w:val="20"/>
      <w:szCs w:val="20"/>
      <w:lang w:val="en-US"/>
    </w:rPr>
  </w:style>
  <w:style w:type="paragraph" w:styleId="BalloonText">
    <w:name w:val="Balloon Text"/>
    <w:basedOn w:val="Normal"/>
    <w:link w:val="BalloonTextChar"/>
    <w:uiPriority w:val="99"/>
    <w:semiHidden/>
    <w:unhideWhenUsed/>
    <w:rsid w:val="00293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7B1"/>
    <w:rPr>
      <w:rFonts w:ascii="Tahoma" w:hAnsi="Tahoma" w:cs="Tahoma"/>
      <w:color w:val="000000" w:themeColor="text1"/>
      <w:sz w:val="16"/>
      <w:szCs w:val="16"/>
      <w:lang w:val="en-GB"/>
    </w:rPr>
  </w:style>
  <w:style w:type="character" w:customStyle="1" w:styleId="hps">
    <w:name w:val="hps"/>
    <w:basedOn w:val="DefaultParagraphFont"/>
    <w:rsid w:val="002937B1"/>
  </w:style>
  <w:style w:type="character" w:customStyle="1" w:styleId="shorttext">
    <w:name w:val="short_text"/>
    <w:basedOn w:val="DefaultParagraphFont"/>
    <w:rsid w:val="002937B1"/>
  </w:style>
  <w:style w:type="character" w:customStyle="1" w:styleId="alt-edited">
    <w:name w:val="alt-edited"/>
    <w:basedOn w:val="DefaultParagraphFont"/>
    <w:rsid w:val="002937B1"/>
  </w:style>
  <w:style w:type="paragraph" w:styleId="ListParagraph">
    <w:name w:val="List Paragraph"/>
    <w:basedOn w:val="Normal"/>
    <w:uiPriority w:val="34"/>
    <w:qFormat/>
    <w:rsid w:val="00257888"/>
    <w:pPr>
      <w:spacing w:before="240" w:after="0" w:line="360" w:lineRule="auto"/>
      <w:ind w:left="720"/>
      <w:contextualSpacing/>
      <w:jc w:val="both"/>
    </w:pPr>
    <w:rPr>
      <w:color w:val="auto"/>
      <w:sz w:val="22"/>
      <w:lang w:val="el-GR"/>
    </w:rPr>
  </w:style>
  <w:style w:type="character" w:customStyle="1" w:styleId="gi">
    <w:name w:val="gi"/>
    <w:basedOn w:val="DefaultParagraphFont"/>
    <w:rsid w:val="00C04EBD"/>
  </w:style>
  <w:style w:type="paragraph" w:styleId="Footer">
    <w:name w:val="footer"/>
    <w:basedOn w:val="Normal"/>
    <w:link w:val="FooterChar"/>
    <w:uiPriority w:val="99"/>
    <w:unhideWhenUsed/>
    <w:rsid w:val="00E853C3"/>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53C3"/>
    <w:rPr>
      <w:color w:val="000000" w:themeColor="text1"/>
      <w:sz w:val="24"/>
      <w:lang w:val="en-GB"/>
    </w:rPr>
  </w:style>
  <w:style w:type="character" w:styleId="CommentReference">
    <w:name w:val="annotation reference"/>
    <w:basedOn w:val="DefaultParagraphFont"/>
    <w:uiPriority w:val="99"/>
    <w:semiHidden/>
    <w:unhideWhenUsed/>
    <w:rsid w:val="000F6701"/>
    <w:rPr>
      <w:sz w:val="16"/>
      <w:szCs w:val="16"/>
    </w:rPr>
  </w:style>
  <w:style w:type="paragraph" w:styleId="CommentText">
    <w:name w:val="annotation text"/>
    <w:basedOn w:val="Normal"/>
    <w:link w:val="CommentTextChar"/>
    <w:uiPriority w:val="99"/>
    <w:semiHidden/>
    <w:unhideWhenUsed/>
    <w:rsid w:val="000F6701"/>
    <w:pPr>
      <w:spacing w:line="240" w:lineRule="auto"/>
    </w:pPr>
    <w:rPr>
      <w:sz w:val="20"/>
      <w:szCs w:val="20"/>
    </w:rPr>
  </w:style>
  <w:style w:type="character" w:customStyle="1" w:styleId="CommentTextChar">
    <w:name w:val="Comment Text Char"/>
    <w:basedOn w:val="DefaultParagraphFont"/>
    <w:link w:val="CommentText"/>
    <w:uiPriority w:val="99"/>
    <w:semiHidden/>
    <w:rsid w:val="000F6701"/>
    <w:rPr>
      <w:color w:val="000000" w:themeColor="text1"/>
      <w:sz w:val="20"/>
      <w:szCs w:val="20"/>
      <w:lang w:val="en-GB"/>
    </w:rPr>
  </w:style>
  <w:style w:type="paragraph" w:styleId="CommentSubject">
    <w:name w:val="annotation subject"/>
    <w:basedOn w:val="CommentText"/>
    <w:next w:val="CommentText"/>
    <w:link w:val="CommentSubjectChar"/>
    <w:uiPriority w:val="99"/>
    <w:semiHidden/>
    <w:unhideWhenUsed/>
    <w:rsid w:val="000F6701"/>
    <w:rPr>
      <w:b/>
      <w:bCs/>
    </w:rPr>
  </w:style>
  <w:style w:type="character" w:customStyle="1" w:styleId="CommentSubjectChar">
    <w:name w:val="Comment Subject Char"/>
    <w:basedOn w:val="CommentTextChar"/>
    <w:link w:val="CommentSubject"/>
    <w:uiPriority w:val="99"/>
    <w:semiHidden/>
    <w:rsid w:val="000F6701"/>
    <w:rPr>
      <w:b/>
      <w:bCs/>
      <w:color w:val="000000" w:themeColor="text1"/>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4AD9418B-0583-43AF-815D-F8BDB93A5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2</Pages>
  <Words>2422</Words>
  <Characters>13081</Characters>
  <Application>Microsoft Office Word</Application>
  <DocSecurity>0</DocSecurity>
  <Lines>109</Lines>
  <Paragraphs>30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user035</dc:creator>
  <cp:lastModifiedBy>thanasis</cp:lastModifiedBy>
  <cp:revision>24</cp:revision>
  <cp:lastPrinted>2016-12-14T08:08:00Z</cp:lastPrinted>
  <dcterms:created xsi:type="dcterms:W3CDTF">2022-01-04T08:48:00Z</dcterms:created>
  <dcterms:modified xsi:type="dcterms:W3CDTF">2022-01-07T17:12:00Z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http://www.zotero.org/styles/energies</vt:lpwstr>
  </property>
  <property fmtid="{D5CDD505-2E9C-101B-9397-08002B2CF9AE}" pid="11" name="Mendeley Recent Style Name 4_1">
    <vt:lpwstr>Energies</vt:lpwstr>
  </property>
  <property fmtid="{D5CDD505-2E9C-101B-9397-08002B2CF9AE}" pid="12" name="Mendeley Recent Style Id 5_1">
    <vt:lpwstr>http://www.zotero.org/styles/fuel</vt:lpwstr>
  </property>
  <property fmtid="{D5CDD505-2E9C-101B-9397-08002B2CF9AE}" pid="13" name="Mendeley Recent Style Name 5_1">
    <vt:lpwstr>Fuel</vt:lpwstr>
  </property>
  <property fmtid="{D5CDD505-2E9C-101B-9397-08002B2CF9AE}" pid="14" name="Mendeley Recent Style Id 6_1">
    <vt:lpwstr>http://www.zotero.org/styles/international-journal-of-hydrogen-energy</vt:lpwstr>
  </property>
  <property fmtid="{D5CDD505-2E9C-101B-9397-08002B2CF9AE}" pid="15" name="Mendeley Recent Style Name 6_1">
    <vt:lpwstr>International Journal of Hydrogen Energy</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299c4f5a-44de-3b6e-817a-019cccde0ba7</vt:lpwstr>
  </property>
  <property fmtid="{D5CDD505-2E9C-101B-9397-08002B2CF9AE}" pid="24" name="Mendeley Citation Style_1">
    <vt:lpwstr>http://www.zotero.org/styles/international-journal-of-hydrogen-energy</vt:lpwstr>
  </property>
</Properties>
</file>