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14EE" w14:textId="73C56A82" w:rsidR="00A80561" w:rsidRPr="005B4BD8" w:rsidRDefault="00B72FFA" w:rsidP="00F5356C">
      <w:pPr>
        <w:ind w:left="720"/>
        <w:jc w:val="center"/>
        <w:rPr>
          <w:b/>
          <w:bCs/>
          <w:sz w:val="24"/>
          <w:szCs w:val="24"/>
        </w:rPr>
      </w:pPr>
      <w:r w:rsidRPr="005B4BD8">
        <w:rPr>
          <w:b/>
          <w:bCs/>
          <w:sz w:val="24"/>
          <w:szCs w:val="24"/>
        </w:rPr>
        <w:t xml:space="preserve">ENGINEERNG OSTEOGENIC BIOHYBRID IMPLANTS COMPOSED OF </w:t>
      </w:r>
      <w:r w:rsidR="00A80561" w:rsidRPr="005B4BD8">
        <w:rPr>
          <w:b/>
          <w:bCs/>
          <w:sz w:val="24"/>
          <w:szCs w:val="24"/>
        </w:rPr>
        <w:t xml:space="preserve">CARTILAGINOUS MICROTISSUES </w:t>
      </w:r>
      <w:r w:rsidRPr="005B4BD8">
        <w:rPr>
          <w:b/>
          <w:bCs/>
          <w:sz w:val="24"/>
          <w:szCs w:val="24"/>
        </w:rPr>
        <w:t xml:space="preserve">&amp; </w:t>
      </w:r>
      <w:r w:rsidR="00A80561" w:rsidRPr="005B4BD8">
        <w:rPr>
          <w:b/>
          <w:bCs/>
          <w:sz w:val="24"/>
          <w:szCs w:val="24"/>
        </w:rPr>
        <w:t xml:space="preserve">TAILORED MELT ELECTROWRITTEN MESHES </w:t>
      </w:r>
    </w:p>
    <w:p w14:paraId="716766B8" w14:textId="5378F761" w:rsidR="0037781B" w:rsidRPr="005B4BD8" w:rsidRDefault="0037781B" w:rsidP="0037781B">
      <w:pPr>
        <w:ind w:left="720"/>
        <w:jc w:val="center"/>
        <w:rPr>
          <w:sz w:val="24"/>
          <w:szCs w:val="24"/>
        </w:rPr>
      </w:pPr>
      <w:r w:rsidRPr="005B4BD8">
        <w:rPr>
          <w:sz w:val="24"/>
          <w:szCs w:val="24"/>
          <w:lang w:val="sv-SE"/>
        </w:rPr>
        <w:t>G</w:t>
      </w:r>
      <w:r w:rsidR="003E4325" w:rsidRPr="005B4BD8">
        <w:rPr>
          <w:sz w:val="24"/>
          <w:szCs w:val="24"/>
          <w:lang w:val="sv-SE"/>
        </w:rPr>
        <w:t>.</w:t>
      </w:r>
      <w:r w:rsidRPr="005B4BD8">
        <w:rPr>
          <w:sz w:val="24"/>
          <w:szCs w:val="24"/>
          <w:lang w:val="sv-SE"/>
        </w:rPr>
        <w:t xml:space="preserve"> Nilsson Hall</w:t>
      </w:r>
      <w:r w:rsidRPr="005B4BD8">
        <w:rPr>
          <w:sz w:val="24"/>
          <w:szCs w:val="24"/>
          <w:vertAlign w:val="superscript"/>
          <w:lang w:val="sv-SE"/>
        </w:rPr>
        <w:t>1, 2</w:t>
      </w:r>
      <w:r w:rsidRPr="005B4BD8">
        <w:rPr>
          <w:sz w:val="24"/>
          <w:szCs w:val="24"/>
          <w:lang w:val="sv-SE"/>
        </w:rPr>
        <w:t xml:space="preserve">, </w:t>
      </w:r>
      <w:r w:rsidR="0064040C" w:rsidRPr="005B4BD8">
        <w:rPr>
          <w:sz w:val="24"/>
          <w:szCs w:val="24"/>
          <w:lang w:val="sv-SE"/>
        </w:rPr>
        <w:t>A. Chandrakar</w:t>
      </w:r>
      <w:r w:rsidR="0064040C" w:rsidRPr="005B4BD8">
        <w:rPr>
          <w:sz w:val="24"/>
          <w:szCs w:val="24"/>
          <w:vertAlign w:val="superscript"/>
          <w:lang w:val="sv-SE"/>
        </w:rPr>
        <w:t>4</w:t>
      </w:r>
      <w:r w:rsidR="0064040C" w:rsidRPr="005B4BD8">
        <w:rPr>
          <w:sz w:val="24"/>
          <w:szCs w:val="24"/>
          <w:lang w:val="sv-SE"/>
        </w:rPr>
        <w:t xml:space="preserve">, </w:t>
      </w:r>
      <w:r w:rsidR="00B72FFA" w:rsidRPr="005B4BD8">
        <w:rPr>
          <w:sz w:val="24"/>
          <w:szCs w:val="24"/>
          <w:lang w:val="sv-SE"/>
        </w:rPr>
        <w:t>K. Ioannidis</w:t>
      </w:r>
      <w:r w:rsidR="00B72FFA" w:rsidRPr="005B4BD8">
        <w:rPr>
          <w:sz w:val="24"/>
          <w:szCs w:val="24"/>
          <w:vertAlign w:val="superscript"/>
          <w:lang w:val="sv-SE"/>
        </w:rPr>
        <w:t>1, 2</w:t>
      </w:r>
      <w:r w:rsidR="00B72FFA" w:rsidRPr="005B4BD8">
        <w:rPr>
          <w:sz w:val="24"/>
          <w:szCs w:val="24"/>
          <w:lang w:val="sv-SE"/>
        </w:rPr>
        <w:t>, A. Pastore</w:t>
      </w:r>
      <w:r w:rsidR="00B72FFA" w:rsidRPr="005B4BD8">
        <w:rPr>
          <w:sz w:val="24"/>
          <w:szCs w:val="24"/>
          <w:vertAlign w:val="superscript"/>
          <w:lang w:val="sv-SE"/>
        </w:rPr>
        <w:t>1, 2</w:t>
      </w:r>
      <w:r w:rsidR="00B72FFA" w:rsidRPr="005B4BD8">
        <w:rPr>
          <w:sz w:val="24"/>
          <w:szCs w:val="24"/>
          <w:lang w:val="sv-SE"/>
        </w:rPr>
        <w:t xml:space="preserve">, K, </w:t>
      </w:r>
      <w:r w:rsidR="00883BDC" w:rsidRPr="005B4BD8">
        <w:rPr>
          <w:sz w:val="24"/>
          <w:szCs w:val="24"/>
          <w:lang w:val="sv-SE"/>
        </w:rPr>
        <w:t>K</w:t>
      </w:r>
      <w:r w:rsidR="00211EA1" w:rsidRPr="005B4BD8">
        <w:rPr>
          <w:sz w:val="24"/>
          <w:szCs w:val="24"/>
          <w:lang w:val="sv-SE"/>
        </w:rPr>
        <w:t>.</w:t>
      </w:r>
      <w:r w:rsidR="00883BDC" w:rsidRPr="005B4BD8">
        <w:rPr>
          <w:sz w:val="24"/>
          <w:szCs w:val="24"/>
          <w:lang w:val="sv-SE"/>
        </w:rPr>
        <w:t xml:space="preserve"> Mo</w:t>
      </w:r>
      <w:r w:rsidR="00A9233F" w:rsidRPr="005B4BD8">
        <w:rPr>
          <w:sz w:val="24"/>
          <w:szCs w:val="24"/>
          <w:lang w:val="sv-SE"/>
        </w:rPr>
        <w:t>i</w:t>
      </w:r>
      <w:r w:rsidR="00883BDC" w:rsidRPr="005B4BD8">
        <w:rPr>
          <w:sz w:val="24"/>
          <w:szCs w:val="24"/>
          <w:lang w:val="sv-SE"/>
        </w:rPr>
        <w:t>sley</w:t>
      </w:r>
      <w:r w:rsidR="00883BDC" w:rsidRPr="005B4BD8">
        <w:rPr>
          <w:sz w:val="24"/>
          <w:szCs w:val="24"/>
          <w:vertAlign w:val="superscript"/>
          <w:lang w:val="sv-SE"/>
        </w:rPr>
        <w:t>3</w:t>
      </w:r>
      <w:r w:rsidR="00883BDC" w:rsidRPr="005B4BD8">
        <w:rPr>
          <w:sz w:val="24"/>
          <w:szCs w:val="24"/>
          <w:lang w:val="sv-SE"/>
        </w:rPr>
        <w:t xml:space="preserve">, </w:t>
      </w:r>
      <w:r w:rsidRPr="005B4BD8">
        <w:rPr>
          <w:sz w:val="24"/>
          <w:szCs w:val="24"/>
          <w:lang w:val="sv-SE"/>
        </w:rPr>
        <w:t>M. Cirstea</w:t>
      </w:r>
      <w:r w:rsidRPr="005B4BD8">
        <w:rPr>
          <w:sz w:val="24"/>
          <w:szCs w:val="24"/>
          <w:vertAlign w:val="superscript"/>
          <w:lang w:val="sv-SE"/>
        </w:rPr>
        <w:t>3</w:t>
      </w:r>
      <w:r w:rsidRPr="005B4BD8">
        <w:rPr>
          <w:sz w:val="24"/>
          <w:szCs w:val="24"/>
          <w:lang w:val="sv-SE"/>
        </w:rPr>
        <w:t>, L. Geris</w:t>
      </w:r>
      <w:r w:rsidRPr="005B4BD8">
        <w:rPr>
          <w:sz w:val="24"/>
          <w:szCs w:val="24"/>
          <w:vertAlign w:val="superscript"/>
          <w:lang w:val="sv-SE"/>
        </w:rPr>
        <w:t>1, 5, 6</w:t>
      </w:r>
      <w:r w:rsidRPr="005B4BD8">
        <w:rPr>
          <w:sz w:val="24"/>
          <w:szCs w:val="24"/>
          <w:lang w:val="sv-SE"/>
        </w:rPr>
        <w:t xml:space="preserve">, </w:t>
      </w:r>
      <w:r w:rsidR="00773338" w:rsidRPr="005B4BD8">
        <w:rPr>
          <w:sz w:val="24"/>
          <w:szCs w:val="24"/>
          <w:lang w:val="sv-SE"/>
        </w:rPr>
        <w:t>L. Moroni</w:t>
      </w:r>
      <w:r w:rsidR="00773338" w:rsidRPr="005B4BD8">
        <w:rPr>
          <w:sz w:val="24"/>
          <w:szCs w:val="24"/>
          <w:vertAlign w:val="superscript"/>
          <w:lang w:val="sv-SE"/>
        </w:rPr>
        <w:t>4</w:t>
      </w:r>
      <w:r w:rsidR="00773338" w:rsidRPr="005B4BD8">
        <w:rPr>
          <w:sz w:val="24"/>
          <w:szCs w:val="24"/>
          <w:lang w:val="sv-SE"/>
        </w:rPr>
        <w:t xml:space="preserve">, </w:t>
      </w:r>
      <w:r w:rsidRPr="005B4BD8">
        <w:rPr>
          <w:sz w:val="24"/>
          <w:szCs w:val="24"/>
          <w:lang w:val="sv-SE"/>
        </w:rPr>
        <w:t>P. Wieringa</w:t>
      </w:r>
      <w:r w:rsidRPr="005B4BD8">
        <w:rPr>
          <w:sz w:val="24"/>
          <w:szCs w:val="24"/>
          <w:vertAlign w:val="superscript"/>
          <w:lang w:val="sv-SE"/>
        </w:rPr>
        <w:t>4</w:t>
      </w:r>
      <w:r w:rsidRPr="005B4BD8">
        <w:rPr>
          <w:sz w:val="24"/>
          <w:szCs w:val="24"/>
          <w:lang w:val="sv-SE"/>
        </w:rPr>
        <w:t xml:space="preserve">, FP. </w:t>
      </w:r>
      <w:r w:rsidRPr="005B4BD8">
        <w:rPr>
          <w:sz w:val="24"/>
          <w:szCs w:val="24"/>
        </w:rPr>
        <w:t>Luyten</w:t>
      </w:r>
      <w:r w:rsidRPr="005B4BD8">
        <w:rPr>
          <w:sz w:val="24"/>
          <w:szCs w:val="24"/>
          <w:vertAlign w:val="superscript"/>
        </w:rPr>
        <w:t>1, 2</w:t>
      </w:r>
      <w:r w:rsidRPr="005B4BD8">
        <w:rPr>
          <w:sz w:val="24"/>
          <w:szCs w:val="24"/>
        </w:rPr>
        <w:t>, I. Papantoniou</w:t>
      </w:r>
      <w:r w:rsidRPr="005B4BD8">
        <w:rPr>
          <w:sz w:val="24"/>
          <w:szCs w:val="24"/>
          <w:vertAlign w:val="superscript"/>
        </w:rPr>
        <w:t>1,2</w:t>
      </w:r>
      <w:r w:rsidR="007E7C1B" w:rsidRPr="005B4BD8">
        <w:rPr>
          <w:sz w:val="24"/>
          <w:szCs w:val="24"/>
          <w:vertAlign w:val="superscript"/>
        </w:rPr>
        <w:t>,6</w:t>
      </w:r>
    </w:p>
    <w:p w14:paraId="7712D296" w14:textId="58BA4ACE" w:rsidR="0037781B" w:rsidRDefault="0037781B" w:rsidP="0037781B">
      <w:pPr>
        <w:pBdr>
          <w:bottom w:val="single" w:sz="12" w:space="1" w:color="auto"/>
        </w:pBdr>
        <w:spacing w:after="240"/>
        <w:jc w:val="center"/>
      </w:pPr>
      <w:r w:rsidRPr="00914CB3">
        <w:rPr>
          <w:vertAlign w:val="superscript"/>
        </w:rPr>
        <w:t>1</w:t>
      </w:r>
      <w:r w:rsidRPr="00914CB3">
        <w:t xml:space="preserve">Prometheus, Div. of Skeletal Tissue </w:t>
      </w:r>
      <w:r>
        <w:t xml:space="preserve">Engineering, KU Leuven, Belgium. </w:t>
      </w:r>
      <w:r w:rsidRPr="00914CB3">
        <w:rPr>
          <w:vertAlign w:val="superscript"/>
        </w:rPr>
        <w:t>2</w:t>
      </w:r>
      <w:r w:rsidRPr="00914CB3">
        <w:t>Skeletal Biology and Engineering Research Center, KU Leuven, Belgium.</w:t>
      </w:r>
      <w:r w:rsidRPr="00F64632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The Electrospinning Company Ltd, England, </w:t>
      </w:r>
      <w:r w:rsidRPr="00914CB3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380108">
        <w:t>Department of Complex Tissue Regeneration</w:t>
      </w:r>
      <w:r>
        <w:t xml:space="preserve">, </w:t>
      </w:r>
      <w:r w:rsidRPr="002F0DAA">
        <w:t>Maastricht University,</w:t>
      </w:r>
      <w:r w:rsidRPr="002F0DAA" w:rsidDel="00380108">
        <w:t xml:space="preserve"> </w:t>
      </w:r>
      <w:r>
        <w:t xml:space="preserve">The Netherlands, </w:t>
      </w:r>
      <w:r>
        <w:rPr>
          <w:vertAlign w:val="superscript"/>
        </w:rPr>
        <w:t>5</w:t>
      </w:r>
      <w:r w:rsidRPr="00914CB3">
        <w:t>Biomechanics Research Unit, Université de Liège</w:t>
      </w:r>
      <w:r>
        <w:t xml:space="preserve">, </w:t>
      </w:r>
      <w:r w:rsidRPr="00914CB3">
        <w:t>Belgium</w:t>
      </w:r>
      <w:r w:rsidRPr="00380108">
        <w:rPr>
          <w:vertAlign w:val="superscript"/>
        </w:rPr>
        <w:t xml:space="preserve"> </w:t>
      </w:r>
      <w:r>
        <w:rPr>
          <w:vertAlign w:val="superscript"/>
        </w:rPr>
        <w:t>6</w:t>
      </w:r>
      <w:r w:rsidRPr="00914CB3">
        <w:t>Biomechanics Section, KU Leuven, Belgium</w:t>
      </w:r>
      <w:r w:rsidR="007E7C1B">
        <w:t xml:space="preserve">. </w:t>
      </w:r>
      <w:r w:rsidR="007E7C1B">
        <w:rPr>
          <w:vertAlign w:val="superscript"/>
        </w:rPr>
        <w:t>6</w:t>
      </w:r>
      <w:r w:rsidR="007E7C1B">
        <w:t>Institute of Chemical Engineering Sciences, Foundation for Research and Technology – FORTH, Patras, Greece.</w:t>
      </w:r>
    </w:p>
    <w:p w14:paraId="7DD49919" w14:textId="557F5FBB" w:rsidR="005B4BD8" w:rsidRDefault="005B4BD8" w:rsidP="005B4BD8">
      <w:pPr>
        <w:pBdr>
          <w:bottom w:val="single" w:sz="12" w:space="1" w:color="auto"/>
        </w:pBdr>
        <w:spacing w:after="240"/>
      </w:pPr>
      <w:r>
        <w:t xml:space="preserve">Corresponding author’s email: </w:t>
      </w:r>
      <w:hyperlink r:id="rId7" w:history="1">
        <w:r w:rsidRPr="00AC315F">
          <w:rPr>
            <w:rStyle w:val="-"/>
          </w:rPr>
          <w:t>ioannis.papantoniou@kuleuven.be</w:t>
        </w:r>
      </w:hyperlink>
      <w:r>
        <w:t xml:space="preserve"> </w:t>
      </w:r>
    </w:p>
    <w:p w14:paraId="3FF3E17C" w14:textId="50780293" w:rsidR="00366297" w:rsidRPr="005B4BD8" w:rsidRDefault="002A5C09" w:rsidP="00FD55D7">
      <w:pPr>
        <w:jc w:val="both"/>
      </w:pPr>
      <w:r>
        <w:rPr>
          <w:color w:val="000000"/>
        </w:rPr>
        <w:t>Progenitor cells from the p</w:t>
      </w:r>
      <w:r w:rsidR="007A4D1F" w:rsidRPr="009345B1">
        <w:rPr>
          <w:color w:val="000000"/>
        </w:rPr>
        <w:t xml:space="preserve">eriosteum </w:t>
      </w:r>
      <w:r>
        <w:rPr>
          <w:color w:val="000000"/>
        </w:rPr>
        <w:t>are</w:t>
      </w:r>
      <w:r w:rsidR="007A4D1F">
        <w:rPr>
          <w:color w:val="000000"/>
        </w:rPr>
        <w:t xml:space="preserve"> major contributor</w:t>
      </w:r>
      <w:r>
        <w:rPr>
          <w:color w:val="000000"/>
        </w:rPr>
        <w:t>s</w:t>
      </w:r>
      <w:r w:rsidR="007A4D1F">
        <w:rPr>
          <w:color w:val="000000"/>
        </w:rPr>
        <w:t xml:space="preserve"> in</w:t>
      </w:r>
      <w:r w:rsidR="007A4D1F" w:rsidRPr="009345B1">
        <w:rPr>
          <w:color w:val="000000"/>
        </w:rPr>
        <w:t xml:space="preserve"> fracture healing</w:t>
      </w:r>
      <w:r w:rsidR="007A4D1F">
        <w:rPr>
          <w:color w:val="000000"/>
        </w:rPr>
        <w:t xml:space="preserve"> </w:t>
      </w:r>
      <w:r w:rsidR="008417CF">
        <w:t>with</w:t>
      </w:r>
      <w:r w:rsidR="007A4D1F" w:rsidRPr="00ED6D27">
        <w:t xml:space="preserve"> </w:t>
      </w:r>
      <w:r w:rsidR="009305E1">
        <w:t>contribution</w:t>
      </w:r>
      <w:r w:rsidR="009305E1" w:rsidRPr="00ED6D27">
        <w:t xml:space="preserve"> </w:t>
      </w:r>
      <w:r w:rsidR="009305E1">
        <w:t>to</w:t>
      </w:r>
      <w:r w:rsidR="007A4D1F" w:rsidRPr="00ED6D27">
        <w:t xml:space="preserve"> the formation of </w:t>
      </w:r>
      <w:r w:rsidR="009305E1">
        <w:t>the</w:t>
      </w:r>
      <w:r>
        <w:t xml:space="preserve"> cartilaginous</w:t>
      </w:r>
      <w:r w:rsidR="000C50C1">
        <w:t xml:space="preserve"> fracture</w:t>
      </w:r>
      <w:r w:rsidR="007A4D1F" w:rsidRPr="00ED6D27">
        <w:t xml:space="preserve"> callus</w:t>
      </w:r>
      <w:r w:rsidR="007A4D1F">
        <w:t xml:space="preserve">. </w:t>
      </w:r>
      <w:r w:rsidR="00063CF1">
        <w:t>It was previously demonstrated that m</w:t>
      </w:r>
      <w:r w:rsidR="003A22CF">
        <w:t>icrospheroids</w:t>
      </w:r>
      <w:r w:rsidR="00063CF1">
        <w:t xml:space="preserve"> of human periosteum derived cells</w:t>
      </w:r>
      <w:r w:rsidR="00866FE7">
        <w:t>,</w:t>
      </w:r>
      <w:r w:rsidR="00063CF1">
        <w:t xml:space="preserve"> differentiated towards the chondrogenic lineage</w:t>
      </w:r>
      <w:r w:rsidR="002A7AB3">
        <w:t>,</w:t>
      </w:r>
      <w:r w:rsidR="00063CF1">
        <w:t xml:space="preserve"> could be </w:t>
      </w:r>
      <w:r w:rsidR="003A22CF">
        <w:t>assembled</w:t>
      </w:r>
      <w:r w:rsidR="00507AB6">
        <w:t xml:space="preserve"> into scaffold-free constructs </w:t>
      </w:r>
      <w:r w:rsidR="00063CF1">
        <w:t>that</w:t>
      </w:r>
      <w:r w:rsidR="00507AB6">
        <w:t xml:space="preserve"> heal</w:t>
      </w:r>
      <w:r w:rsidR="00063CF1">
        <w:t>ed</w:t>
      </w:r>
      <w:r w:rsidR="00017F76">
        <w:t xml:space="preserve"> murine critical-size</w:t>
      </w:r>
      <w:r w:rsidR="00507AB6">
        <w:t xml:space="preserve"> long bone defects</w:t>
      </w:r>
      <w:r w:rsidR="003A22CF">
        <w:t xml:space="preserve"> [1]</w:t>
      </w:r>
      <w:r w:rsidR="007A4D1F">
        <w:t xml:space="preserve">. </w:t>
      </w:r>
      <w:r w:rsidR="00472635">
        <w:t xml:space="preserve">However, the stability of </w:t>
      </w:r>
      <w:r w:rsidR="00017F76">
        <w:t xml:space="preserve">such </w:t>
      </w:r>
      <w:r w:rsidR="00472635">
        <w:t xml:space="preserve">scaffold-free implants </w:t>
      </w:r>
      <w:r w:rsidR="00017F76">
        <w:t>can be compromised when scaling-up</w:t>
      </w:r>
      <w:r w:rsidR="00472635">
        <w:t xml:space="preserve">. </w:t>
      </w:r>
      <w:r w:rsidR="007E7C1B">
        <w:t>In this work</w:t>
      </w:r>
      <w:r w:rsidR="007A4D1F">
        <w:t xml:space="preserve">, </w:t>
      </w:r>
      <w:r w:rsidR="007E7C1B">
        <w:t>cartilaginous</w:t>
      </w:r>
      <w:r w:rsidR="007A4D1F">
        <w:t xml:space="preserve"> </w:t>
      </w:r>
      <w:r w:rsidR="007A4D1F">
        <w:rPr>
          <w:bCs/>
          <w:color w:val="000000"/>
        </w:rPr>
        <w:t>micro</w:t>
      </w:r>
      <w:r w:rsidR="00EF03CA">
        <w:rPr>
          <w:bCs/>
          <w:color w:val="000000"/>
        </w:rPr>
        <w:t>spheroids</w:t>
      </w:r>
      <w:r w:rsidR="007A4D1F">
        <w:t xml:space="preserve"> </w:t>
      </w:r>
      <w:r w:rsidR="00E341EE">
        <w:t>were</w:t>
      </w:r>
      <w:r w:rsidR="00B62FDB">
        <w:t xml:space="preserve"> combined with</w:t>
      </w:r>
      <w:r w:rsidR="007A4D1F">
        <w:t xml:space="preserve"> </w:t>
      </w:r>
      <w:r w:rsidR="00BA7FC2">
        <w:t>tailored</w:t>
      </w:r>
      <w:r w:rsidR="007E7C1B">
        <w:t xml:space="preserve"> </w:t>
      </w:r>
      <w:r w:rsidR="007A4D1F">
        <w:t>melt electrowrit</w:t>
      </w:r>
      <w:r w:rsidR="007E7C1B">
        <w:t>ten</w:t>
      </w:r>
      <w:r w:rsidR="00FE696A">
        <w:t xml:space="preserve"> (MEW)</w:t>
      </w:r>
      <w:r w:rsidR="007E7C1B">
        <w:t xml:space="preserve"> meshes</w:t>
      </w:r>
      <w:r w:rsidR="007A4D1F">
        <w:t xml:space="preserve"> to create a</w:t>
      </w:r>
      <w:r w:rsidR="00017F76">
        <w:t>n engineered</w:t>
      </w:r>
      <w:r w:rsidR="007A4D1F">
        <w:t xml:space="preserve"> </w:t>
      </w:r>
      <w:r w:rsidR="00017F76">
        <w:t xml:space="preserve">biohybrid </w:t>
      </w:r>
      <w:r w:rsidR="006B0D83">
        <w:t>callus-like</w:t>
      </w:r>
      <w:r w:rsidR="007A4D1F">
        <w:t xml:space="preserve"> membrane</w:t>
      </w:r>
      <w:r w:rsidR="00AD1A66">
        <w:t xml:space="preserve"> </w:t>
      </w:r>
      <w:r w:rsidR="00324CEE">
        <w:t>able to induce</w:t>
      </w:r>
      <w:r w:rsidR="0053187C">
        <w:t xml:space="preserve"> </w:t>
      </w:r>
      <w:r w:rsidR="007E7C1B">
        <w:t xml:space="preserve">bone formation </w:t>
      </w:r>
      <w:r w:rsidR="0053187C">
        <w:t>via</w:t>
      </w:r>
      <w:r w:rsidR="007E7C1B">
        <w:t xml:space="preserve"> endochondral ossification</w:t>
      </w:r>
      <w:r w:rsidR="002950F0">
        <w:t>.</w:t>
      </w:r>
      <w:r w:rsidR="00537C43">
        <w:t xml:space="preserve"> </w:t>
      </w:r>
      <w:r w:rsidR="0036733D">
        <w:rPr>
          <w:bCs/>
          <w:color w:val="000000"/>
        </w:rPr>
        <w:t xml:space="preserve">Human periosteum-derived cells (hPDCs) were seeded in non-adherent </w:t>
      </w:r>
      <w:bookmarkStart w:id="0" w:name="_Hlk95646215"/>
      <w:r w:rsidR="0036733D">
        <w:rPr>
          <w:bCs/>
          <w:color w:val="000000"/>
        </w:rPr>
        <w:t>microwells (AggreWell</w:t>
      </w:r>
      <w:r w:rsidR="0036733D">
        <w:rPr>
          <w:rFonts w:cstheme="minorHAnsi"/>
          <w:bCs/>
          <w:color w:val="000000"/>
        </w:rPr>
        <w:t>™</w:t>
      </w:r>
      <w:r w:rsidR="0036733D">
        <w:rPr>
          <w:bCs/>
          <w:color w:val="000000"/>
        </w:rPr>
        <w:t xml:space="preserve">400, STEMCELL Technologies) </w:t>
      </w:r>
      <w:bookmarkEnd w:id="0"/>
      <w:r w:rsidR="0036733D">
        <w:rPr>
          <w:bCs/>
          <w:color w:val="000000"/>
        </w:rPr>
        <w:t xml:space="preserve">to form </w:t>
      </w:r>
      <w:r w:rsidR="002B4837">
        <w:rPr>
          <w:bCs/>
          <w:color w:val="000000"/>
        </w:rPr>
        <w:t>micro</w:t>
      </w:r>
      <w:r w:rsidR="0036733D">
        <w:rPr>
          <w:bCs/>
          <w:color w:val="000000"/>
        </w:rPr>
        <w:t xml:space="preserve">spheroids with approximately 250 cells. </w:t>
      </w:r>
      <w:r w:rsidR="00E608B5">
        <w:rPr>
          <w:bCs/>
          <w:color w:val="000000"/>
        </w:rPr>
        <w:t xml:space="preserve">The </w:t>
      </w:r>
      <w:r w:rsidR="00D36234">
        <w:rPr>
          <w:bCs/>
          <w:color w:val="000000"/>
        </w:rPr>
        <w:t>micro</w:t>
      </w:r>
      <w:r w:rsidR="00E608B5">
        <w:rPr>
          <w:bCs/>
          <w:color w:val="000000"/>
        </w:rPr>
        <w:t xml:space="preserve">spheroids were cultured in a chemically defined chondrogenic media </w:t>
      </w:r>
      <w:r w:rsidR="00BF5D04">
        <w:rPr>
          <w:bCs/>
          <w:color w:val="000000"/>
        </w:rPr>
        <w:t>(</w:t>
      </w:r>
      <w:r w:rsidR="00756B1C">
        <w:rPr>
          <w:bCs/>
          <w:color w:val="000000"/>
        </w:rPr>
        <w:t>CM</w:t>
      </w:r>
      <w:r w:rsidR="00BF5D04">
        <w:rPr>
          <w:bCs/>
          <w:color w:val="000000"/>
        </w:rPr>
        <w:t xml:space="preserve">) </w:t>
      </w:r>
      <w:r w:rsidR="00E608B5">
        <w:rPr>
          <w:bCs/>
          <w:color w:val="000000"/>
        </w:rPr>
        <w:t xml:space="preserve">for 4 days where after they were seeded onto </w:t>
      </w:r>
      <w:r w:rsidR="002F5BD8">
        <w:rPr>
          <w:bCs/>
          <w:color w:val="000000"/>
        </w:rPr>
        <w:t xml:space="preserve">MEW </w:t>
      </w:r>
      <w:r w:rsidR="00E608B5">
        <w:rPr>
          <w:bCs/>
          <w:color w:val="000000"/>
        </w:rPr>
        <w:t>p</w:t>
      </w:r>
      <w:r w:rsidR="00E608B5" w:rsidRPr="005C665A">
        <w:rPr>
          <w:bCs/>
          <w:color w:val="000000"/>
        </w:rPr>
        <w:t>olycaprolactone</w:t>
      </w:r>
      <w:r w:rsidR="00E608B5">
        <w:rPr>
          <w:bCs/>
          <w:color w:val="000000"/>
        </w:rPr>
        <w:t xml:space="preserve"> (PCL) meshes with defined pore size</w:t>
      </w:r>
      <w:r w:rsidR="00E106A0">
        <w:rPr>
          <w:bCs/>
          <w:color w:val="000000"/>
        </w:rPr>
        <w:t xml:space="preserve">. </w:t>
      </w:r>
      <w:r w:rsidR="00FE696A">
        <w:rPr>
          <w:bCs/>
          <w:color w:val="000000"/>
        </w:rPr>
        <w:t xml:space="preserve">The PCL meshes were printed with </w:t>
      </w:r>
      <w:bookmarkStart w:id="1" w:name="_Hlk95646314"/>
      <w:r w:rsidR="00FE696A">
        <w:t>Spraybase® Melt Electrospinning instrument</w:t>
      </w:r>
      <w:r w:rsidR="00FE696A">
        <w:rPr>
          <w:bCs/>
          <w:color w:val="000000"/>
        </w:rPr>
        <w:t xml:space="preserve"> </w:t>
      </w:r>
      <w:bookmarkEnd w:id="1"/>
      <w:r w:rsidR="00FE696A">
        <w:rPr>
          <w:bCs/>
          <w:color w:val="000000"/>
        </w:rPr>
        <w:t xml:space="preserve">with an average fiber diameter </w:t>
      </w:r>
      <w:bookmarkStart w:id="2" w:name="_Hlk95646356"/>
      <w:r w:rsidR="00FE696A">
        <w:rPr>
          <w:bCs/>
          <w:color w:val="000000"/>
        </w:rPr>
        <w:t xml:space="preserve">of 10.9 </w:t>
      </w:r>
      <w:r w:rsidR="00FE696A" w:rsidRPr="00573245">
        <w:rPr>
          <w:bCs/>
          <w:color w:val="000000"/>
        </w:rPr>
        <w:t>±</w:t>
      </w:r>
      <w:r w:rsidR="00FE696A">
        <w:rPr>
          <w:bCs/>
          <w:color w:val="000000"/>
        </w:rPr>
        <w:t xml:space="preserve"> 2.3 </w:t>
      </w:r>
      <w:r w:rsidR="00FE696A">
        <w:t>µm</w:t>
      </w:r>
      <w:r w:rsidR="00195BD3">
        <w:t xml:space="preserve"> </w:t>
      </w:r>
      <w:bookmarkEnd w:id="2"/>
      <w:r w:rsidR="00195BD3">
        <w:t>and coated with 0.1% gelatin before seeding</w:t>
      </w:r>
      <w:r w:rsidR="00FE696A">
        <w:t xml:space="preserve">. </w:t>
      </w:r>
      <w:r w:rsidR="004D1A96">
        <w:t>Micros</w:t>
      </w:r>
      <w:r w:rsidR="00C33496">
        <w:t xml:space="preserve">pheroids </w:t>
      </w:r>
      <w:r w:rsidR="004D1A96">
        <w:t>on</w:t>
      </w:r>
      <w:r w:rsidR="00C33496">
        <w:t xml:space="preserve"> MEW</w:t>
      </w:r>
      <w:r w:rsidR="002F5BD8">
        <w:t xml:space="preserve">-PCL </w:t>
      </w:r>
      <w:r w:rsidR="00C33496">
        <w:t>meshes were differentiated in CM for an additional 14 days before gene expression analysis or subcutaneous implantation in immunodeficient mice</w:t>
      </w:r>
      <w:r w:rsidR="0013725D">
        <w:t xml:space="preserve"> was performed</w:t>
      </w:r>
      <w:r w:rsidR="005D0F33">
        <w:t xml:space="preserve">. Gene expression analysis </w:t>
      </w:r>
      <w:r w:rsidR="000A66CB">
        <w:rPr>
          <w:bCs/>
          <w:color w:val="000000"/>
        </w:rPr>
        <w:t>demonstrated</w:t>
      </w:r>
      <w:r w:rsidR="0095072B">
        <w:rPr>
          <w:bCs/>
          <w:color w:val="000000"/>
        </w:rPr>
        <w:t xml:space="preserve"> up-regulation of chondrogenic (</w:t>
      </w:r>
      <w:r w:rsidR="00FD0113">
        <w:rPr>
          <w:bCs/>
          <w:color w:val="000000"/>
        </w:rPr>
        <w:t xml:space="preserve">9-fold: </w:t>
      </w:r>
      <w:r w:rsidR="0095072B" w:rsidRPr="0095072B">
        <w:rPr>
          <w:bCs/>
          <w:i/>
          <w:color w:val="000000"/>
        </w:rPr>
        <w:t>SOX9</w:t>
      </w:r>
      <w:r w:rsidR="00CA6B82">
        <w:rPr>
          <w:bCs/>
          <w:i/>
          <w:color w:val="000000"/>
        </w:rPr>
        <w:t xml:space="preserve">, </w:t>
      </w:r>
      <w:r w:rsidR="00FD0113">
        <w:rPr>
          <w:bCs/>
          <w:color w:val="000000"/>
        </w:rPr>
        <w:t xml:space="preserve">140-fold: </w:t>
      </w:r>
      <w:r w:rsidR="00CA6B82">
        <w:rPr>
          <w:bCs/>
          <w:i/>
          <w:color w:val="000000"/>
        </w:rPr>
        <w:t>COL2</w:t>
      </w:r>
      <w:r w:rsidR="0095072B">
        <w:rPr>
          <w:bCs/>
          <w:color w:val="000000"/>
        </w:rPr>
        <w:t xml:space="preserve">) and </w:t>
      </w:r>
      <w:r w:rsidR="00E77398">
        <w:rPr>
          <w:bCs/>
          <w:color w:val="000000"/>
        </w:rPr>
        <w:t>pre</w:t>
      </w:r>
      <w:r w:rsidR="0095072B">
        <w:rPr>
          <w:bCs/>
          <w:color w:val="000000"/>
        </w:rPr>
        <w:t>hypertrophic (</w:t>
      </w:r>
      <w:r w:rsidR="004F658B">
        <w:rPr>
          <w:bCs/>
          <w:color w:val="000000"/>
        </w:rPr>
        <w:t>71-fold:</w:t>
      </w:r>
      <w:r w:rsidR="004F658B" w:rsidRPr="0095072B">
        <w:rPr>
          <w:bCs/>
          <w:i/>
          <w:color w:val="000000"/>
        </w:rPr>
        <w:t xml:space="preserve"> </w:t>
      </w:r>
      <w:r w:rsidR="0095072B" w:rsidRPr="0095072B">
        <w:rPr>
          <w:bCs/>
          <w:i/>
          <w:color w:val="000000"/>
        </w:rPr>
        <w:t>IHH</w:t>
      </w:r>
      <w:r w:rsidR="0095072B">
        <w:rPr>
          <w:bCs/>
          <w:color w:val="000000"/>
        </w:rPr>
        <w:t xml:space="preserve">) gene markers. </w:t>
      </w:r>
      <w:r w:rsidR="0034416A">
        <w:rPr>
          <w:bCs/>
          <w:color w:val="000000"/>
        </w:rPr>
        <w:t>T</w:t>
      </w:r>
      <w:r w:rsidR="00670D4A">
        <w:rPr>
          <w:bCs/>
          <w:color w:val="000000"/>
        </w:rPr>
        <w:t>o assess the bone forming capacity</w:t>
      </w:r>
      <w:r w:rsidR="0034416A">
        <w:rPr>
          <w:bCs/>
          <w:color w:val="000000"/>
        </w:rPr>
        <w:t xml:space="preserve"> of</w:t>
      </w:r>
      <w:r w:rsidR="00022624">
        <w:rPr>
          <w:bCs/>
          <w:color w:val="000000"/>
        </w:rPr>
        <w:t xml:space="preserve"> </w:t>
      </w:r>
      <w:r w:rsidR="004A426D">
        <w:rPr>
          <w:bCs/>
          <w:color w:val="000000"/>
        </w:rPr>
        <w:t>the</w:t>
      </w:r>
      <w:r w:rsidR="00022624">
        <w:rPr>
          <w:bCs/>
          <w:color w:val="000000"/>
        </w:rPr>
        <w:t xml:space="preserve"> </w:t>
      </w:r>
      <w:r w:rsidR="00C579D9">
        <w:rPr>
          <w:bCs/>
          <w:color w:val="000000"/>
        </w:rPr>
        <w:t>“</w:t>
      </w:r>
      <w:r w:rsidR="00022624">
        <w:rPr>
          <w:bCs/>
          <w:color w:val="000000"/>
        </w:rPr>
        <w:t>living membranes</w:t>
      </w:r>
      <w:r w:rsidR="00476653">
        <w:rPr>
          <w:bCs/>
          <w:color w:val="000000"/>
        </w:rPr>
        <w:t>”</w:t>
      </w:r>
      <w:r w:rsidR="00022624">
        <w:rPr>
          <w:bCs/>
          <w:color w:val="000000"/>
        </w:rPr>
        <w:t xml:space="preserve"> (day 14)</w:t>
      </w:r>
      <w:r w:rsidR="0034416A">
        <w:rPr>
          <w:bCs/>
          <w:color w:val="000000"/>
        </w:rPr>
        <w:t>, they</w:t>
      </w:r>
      <w:r w:rsidR="00022624">
        <w:rPr>
          <w:bCs/>
          <w:color w:val="000000"/>
        </w:rPr>
        <w:t xml:space="preserve"> were implanted </w:t>
      </w:r>
      <w:r w:rsidR="00042985">
        <w:rPr>
          <w:bCs/>
          <w:color w:val="000000"/>
        </w:rPr>
        <w:t>subcutaneously</w:t>
      </w:r>
      <w:r w:rsidR="0034416A">
        <w:rPr>
          <w:bCs/>
          <w:color w:val="000000"/>
        </w:rPr>
        <w:t xml:space="preserve"> with </w:t>
      </w:r>
      <w:r w:rsidR="00834884">
        <w:rPr>
          <w:bCs/>
          <w:color w:val="000000"/>
        </w:rPr>
        <w:t>MEW-</w:t>
      </w:r>
      <w:r w:rsidR="00AF167B">
        <w:rPr>
          <w:bCs/>
          <w:color w:val="000000"/>
        </w:rPr>
        <w:t xml:space="preserve">PCL </w:t>
      </w:r>
      <w:r w:rsidR="0034416A">
        <w:rPr>
          <w:bCs/>
          <w:color w:val="000000"/>
        </w:rPr>
        <w:t>meshes</w:t>
      </w:r>
      <w:r w:rsidR="00AF167B">
        <w:rPr>
          <w:bCs/>
          <w:color w:val="000000"/>
        </w:rPr>
        <w:t xml:space="preserve"> </w:t>
      </w:r>
      <w:r w:rsidR="0034416A">
        <w:rPr>
          <w:bCs/>
          <w:color w:val="000000"/>
        </w:rPr>
        <w:t>only as control</w:t>
      </w:r>
      <w:r w:rsidR="00EC5505">
        <w:rPr>
          <w:bCs/>
          <w:color w:val="000000"/>
        </w:rPr>
        <w:t>.</w:t>
      </w:r>
      <w:r w:rsidR="00573245">
        <w:rPr>
          <w:bCs/>
          <w:color w:val="000000"/>
        </w:rPr>
        <w:t xml:space="preserve"> </w:t>
      </w:r>
      <w:r w:rsidR="00573245" w:rsidRPr="00573245">
        <w:rPr>
          <w:bCs/>
          <w:color w:val="000000"/>
        </w:rPr>
        <w:t xml:space="preserve">No mineralization was detected in </w:t>
      </w:r>
      <w:r w:rsidR="00573245">
        <w:rPr>
          <w:bCs/>
          <w:color w:val="000000"/>
        </w:rPr>
        <w:t>mesh</w:t>
      </w:r>
      <w:r w:rsidR="00573245" w:rsidRPr="00573245">
        <w:rPr>
          <w:bCs/>
          <w:color w:val="000000"/>
        </w:rPr>
        <w:t xml:space="preserve">-only explants but </w:t>
      </w:r>
      <w:r w:rsidR="00875C37">
        <w:rPr>
          <w:bCs/>
          <w:color w:val="000000"/>
        </w:rPr>
        <w:t>bone</w:t>
      </w:r>
      <w:r w:rsidR="00476406">
        <w:rPr>
          <w:bCs/>
          <w:color w:val="000000"/>
        </w:rPr>
        <w:t>, bone marrow</w:t>
      </w:r>
      <w:r w:rsidR="00875C37">
        <w:rPr>
          <w:bCs/>
          <w:color w:val="000000"/>
        </w:rPr>
        <w:t xml:space="preserve"> and </w:t>
      </w:r>
      <w:r w:rsidR="00573245" w:rsidRPr="00573245">
        <w:rPr>
          <w:bCs/>
          <w:color w:val="000000"/>
        </w:rPr>
        <w:t>mineraliz</w:t>
      </w:r>
      <w:r w:rsidR="009A76E2">
        <w:rPr>
          <w:bCs/>
          <w:color w:val="000000"/>
        </w:rPr>
        <w:t>ed</w:t>
      </w:r>
      <w:r w:rsidR="00573245" w:rsidRPr="00573245">
        <w:rPr>
          <w:bCs/>
          <w:color w:val="000000"/>
        </w:rPr>
        <w:t xml:space="preserve"> </w:t>
      </w:r>
      <w:r w:rsidR="00875C37">
        <w:rPr>
          <w:bCs/>
          <w:color w:val="000000"/>
        </w:rPr>
        <w:t>cartilage</w:t>
      </w:r>
      <w:r w:rsidR="000A66CB" w:rsidRPr="00573245">
        <w:rPr>
          <w:bCs/>
          <w:color w:val="000000"/>
        </w:rPr>
        <w:t xml:space="preserve"> </w:t>
      </w:r>
      <w:r w:rsidR="00573245" w:rsidRPr="00573245">
        <w:rPr>
          <w:bCs/>
          <w:color w:val="000000"/>
        </w:rPr>
        <w:t xml:space="preserve">was detected in all </w:t>
      </w:r>
      <w:r w:rsidR="00A52BCE">
        <w:rPr>
          <w:bCs/>
          <w:color w:val="000000"/>
        </w:rPr>
        <w:t>“living membranes”</w:t>
      </w:r>
      <w:r w:rsidR="000C686D">
        <w:rPr>
          <w:bCs/>
          <w:color w:val="000000"/>
        </w:rPr>
        <w:t>. A total amount of</w:t>
      </w:r>
      <w:r w:rsidR="00472512">
        <w:rPr>
          <w:bCs/>
          <w:color w:val="000000"/>
        </w:rPr>
        <w:t xml:space="preserve"> </w:t>
      </w:r>
      <w:bookmarkStart w:id="3" w:name="_Hlk95647437"/>
      <w:r w:rsidR="00573245" w:rsidRPr="00573245">
        <w:rPr>
          <w:bCs/>
          <w:color w:val="000000"/>
        </w:rPr>
        <w:t>2</w:t>
      </w:r>
      <w:r w:rsidR="00B64A93">
        <w:rPr>
          <w:bCs/>
          <w:color w:val="000000"/>
        </w:rPr>
        <w:t>3</w:t>
      </w:r>
      <w:r w:rsidR="00573245" w:rsidRPr="00573245">
        <w:rPr>
          <w:bCs/>
          <w:color w:val="000000"/>
        </w:rPr>
        <w:t xml:space="preserve"> ± </w:t>
      </w:r>
      <w:r w:rsidR="00B64A93">
        <w:rPr>
          <w:bCs/>
          <w:color w:val="000000"/>
        </w:rPr>
        <w:t>3</w:t>
      </w:r>
      <w:r w:rsidR="00573245" w:rsidRPr="00573245">
        <w:rPr>
          <w:bCs/>
          <w:color w:val="000000"/>
        </w:rPr>
        <w:t xml:space="preserve"> % </w:t>
      </w:r>
      <w:r w:rsidR="000C686D">
        <w:rPr>
          <w:bCs/>
          <w:color w:val="000000"/>
        </w:rPr>
        <w:t>(</w:t>
      </w:r>
      <w:r w:rsidR="000A66CB">
        <w:rPr>
          <w:bCs/>
          <w:color w:val="000000"/>
        </w:rPr>
        <w:t>MV/TV</w:t>
      </w:r>
      <w:r w:rsidR="00573245" w:rsidRPr="00573245">
        <w:rPr>
          <w:bCs/>
          <w:color w:val="000000"/>
        </w:rPr>
        <w:t>)</w:t>
      </w:r>
      <w:r w:rsidR="000C686D">
        <w:rPr>
          <w:bCs/>
          <w:color w:val="000000"/>
        </w:rPr>
        <w:t xml:space="preserve"> </w:t>
      </w:r>
      <w:bookmarkEnd w:id="3"/>
      <w:r w:rsidR="000C686D">
        <w:rPr>
          <w:bCs/>
          <w:color w:val="000000"/>
        </w:rPr>
        <w:t>mineralized tissue was observed</w:t>
      </w:r>
      <w:r w:rsidR="00573245" w:rsidRPr="00573245">
        <w:rPr>
          <w:bCs/>
          <w:color w:val="000000"/>
        </w:rPr>
        <w:t xml:space="preserve">. These data </w:t>
      </w:r>
      <w:r w:rsidR="000569EB">
        <w:rPr>
          <w:bCs/>
          <w:color w:val="000000"/>
        </w:rPr>
        <w:t>demonstrate</w:t>
      </w:r>
      <w:r w:rsidR="00D15525">
        <w:rPr>
          <w:bCs/>
          <w:color w:val="000000"/>
        </w:rPr>
        <w:t>d</w:t>
      </w:r>
      <w:r w:rsidR="00573245" w:rsidRPr="00573245">
        <w:rPr>
          <w:bCs/>
          <w:color w:val="000000"/>
        </w:rPr>
        <w:t xml:space="preserve"> </w:t>
      </w:r>
      <w:r w:rsidR="002E4D0F">
        <w:rPr>
          <w:bCs/>
          <w:color w:val="000000"/>
        </w:rPr>
        <w:t xml:space="preserve">differentiation towards </w:t>
      </w:r>
      <w:r w:rsidR="00E77398">
        <w:rPr>
          <w:bCs/>
          <w:color w:val="000000"/>
        </w:rPr>
        <w:t>pre</w:t>
      </w:r>
      <w:r w:rsidR="002E4D0F">
        <w:rPr>
          <w:bCs/>
          <w:color w:val="000000"/>
        </w:rPr>
        <w:t>hypertroph</w:t>
      </w:r>
      <w:r w:rsidR="00D15525">
        <w:rPr>
          <w:bCs/>
          <w:color w:val="000000"/>
        </w:rPr>
        <w:t>i</w:t>
      </w:r>
      <w:r w:rsidR="002E4D0F">
        <w:rPr>
          <w:bCs/>
          <w:color w:val="000000"/>
        </w:rPr>
        <w:t xml:space="preserve">c </w:t>
      </w:r>
      <w:r w:rsidR="00D15525">
        <w:rPr>
          <w:bCs/>
          <w:color w:val="000000"/>
        </w:rPr>
        <w:t>chondrocytes</w:t>
      </w:r>
      <w:r w:rsidR="00573245" w:rsidRPr="00573245">
        <w:rPr>
          <w:bCs/>
          <w:color w:val="000000"/>
        </w:rPr>
        <w:t xml:space="preserve"> </w:t>
      </w:r>
      <w:r w:rsidR="00573245" w:rsidRPr="00A65184">
        <w:rPr>
          <w:bCs/>
          <w:i/>
          <w:color w:val="000000"/>
        </w:rPr>
        <w:t>in vitro</w:t>
      </w:r>
      <w:r w:rsidR="00573245" w:rsidRPr="00573245">
        <w:rPr>
          <w:bCs/>
          <w:color w:val="000000"/>
        </w:rPr>
        <w:t xml:space="preserve"> and bone formation </w:t>
      </w:r>
      <w:r w:rsidR="00573245" w:rsidRPr="000A5BBF">
        <w:rPr>
          <w:bCs/>
          <w:i/>
          <w:color w:val="000000"/>
        </w:rPr>
        <w:t>in vivo</w:t>
      </w:r>
      <w:r w:rsidR="00573245" w:rsidRPr="00573245">
        <w:rPr>
          <w:bCs/>
          <w:color w:val="000000"/>
        </w:rPr>
        <w:t>.</w:t>
      </w:r>
      <w:r w:rsidR="0040095B">
        <w:rPr>
          <w:bCs/>
          <w:color w:val="000000"/>
        </w:rPr>
        <w:t xml:space="preserve"> </w:t>
      </w:r>
      <w:r w:rsidR="007E0F59">
        <w:rPr>
          <w:bCs/>
          <w:color w:val="000000"/>
        </w:rPr>
        <w:t xml:space="preserve">The high versatility </w:t>
      </w:r>
      <w:r w:rsidR="00C524E1">
        <w:rPr>
          <w:bCs/>
          <w:color w:val="000000"/>
        </w:rPr>
        <w:t>of</w:t>
      </w:r>
      <w:r w:rsidR="007E0F59">
        <w:rPr>
          <w:bCs/>
          <w:color w:val="000000"/>
        </w:rPr>
        <w:t xml:space="preserve"> this biofabrication approach lies in </w:t>
      </w:r>
      <w:r w:rsidR="00C524E1">
        <w:rPr>
          <w:bCs/>
          <w:color w:val="000000"/>
        </w:rPr>
        <w:t xml:space="preserve">the </w:t>
      </w:r>
      <w:r w:rsidR="007E0F59">
        <w:rPr>
          <w:bCs/>
          <w:color w:val="000000"/>
        </w:rPr>
        <w:t xml:space="preserve">possibility to tailor the scaffolds to </w:t>
      </w:r>
      <w:r w:rsidR="003C70D5">
        <w:rPr>
          <w:bCs/>
          <w:color w:val="000000"/>
        </w:rPr>
        <w:t xml:space="preserve">shape and </w:t>
      </w:r>
      <w:r w:rsidR="007E0F59">
        <w:rPr>
          <w:bCs/>
          <w:color w:val="000000"/>
        </w:rPr>
        <w:t xml:space="preserve">dimensions </w:t>
      </w:r>
      <w:r w:rsidR="00323F47">
        <w:rPr>
          <w:bCs/>
          <w:color w:val="000000"/>
        </w:rPr>
        <w:t xml:space="preserve">corresponding to </w:t>
      </w:r>
      <w:r w:rsidR="003C70D5">
        <w:rPr>
          <w:bCs/>
          <w:color w:val="000000"/>
        </w:rPr>
        <w:t xml:space="preserve">the clinical indication and the individual patient using </w:t>
      </w:r>
      <w:r w:rsidR="00323F47">
        <w:rPr>
          <w:bCs/>
          <w:color w:val="000000"/>
        </w:rPr>
        <w:t xml:space="preserve">robust </w:t>
      </w:r>
      <w:r w:rsidR="003C70D5">
        <w:rPr>
          <w:bCs/>
          <w:color w:val="000000"/>
        </w:rPr>
        <w:t xml:space="preserve">bone forming </w:t>
      </w:r>
      <w:r w:rsidR="00323F47">
        <w:rPr>
          <w:bCs/>
          <w:color w:val="000000"/>
        </w:rPr>
        <w:t xml:space="preserve">building blocks. </w:t>
      </w:r>
      <w:r w:rsidR="005F47E5">
        <w:rPr>
          <w:bCs/>
          <w:color w:val="000000"/>
        </w:rPr>
        <w:t xml:space="preserve">We believe that these strategies will be </w:t>
      </w:r>
      <w:r w:rsidR="00643A48">
        <w:rPr>
          <w:bCs/>
          <w:color w:val="000000"/>
        </w:rPr>
        <w:t>instrumental</w:t>
      </w:r>
      <w:r w:rsidR="005F47E5">
        <w:rPr>
          <w:bCs/>
          <w:color w:val="000000"/>
        </w:rPr>
        <w:t xml:space="preserve"> in the development of</w:t>
      </w:r>
      <w:r w:rsidR="00366297">
        <w:rPr>
          <w:bCs/>
          <w:color w:val="000000"/>
        </w:rPr>
        <w:t xml:space="preserve"> </w:t>
      </w:r>
      <w:r w:rsidR="007E7C1B">
        <w:rPr>
          <w:bCs/>
          <w:color w:val="000000"/>
        </w:rPr>
        <w:t xml:space="preserve">designed </w:t>
      </w:r>
      <w:r w:rsidR="00643A48">
        <w:rPr>
          <w:bCs/>
          <w:color w:val="000000"/>
        </w:rPr>
        <w:t xml:space="preserve">living </w:t>
      </w:r>
      <w:r w:rsidR="007E7C1B">
        <w:rPr>
          <w:bCs/>
          <w:color w:val="000000"/>
        </w:rPr>
        <w:t>tissue</w:t>
      </w:r>
      <w:r w:rsidR="006732A9">
        <w:rPr>
          <w:bCs/>
          <w:color w:val="000000"/>
        </w:rPr>
        <w:t>s</w:t>
      </w:r>
      <w:r w:rsidR="007E7C1B">
        <w:rPr>
          <w:bCs/>
          <w:color w:val="000000"/>
        </w:rPr>
        <w:t xml:space="preserve"> </w:t>
      </w:r>
      <w:r w:rsidR="00643A48">
        <w:rPr>
          <w:bCs/>
          <w:color w:val="000000"/>
        </w:rPr>
        <w:t xml:space="preserve">with </w:t>
      </w:r>
      <w:r w:rsidR="007E7C1B">
        <w:rPr>
          <w:bCs/>
          <w:color w:val="000000"/>
        </w:rPr>
        <w:t xml:space="preserve">predictive clinical </w:t>
      </w:r>
      <w:r w:rsidR="0046226E">
        <w:rPr>
          <w:bCs/>
          <w:color w:val="000000"/>
        </w:rPr>
        <w:t>outcomes.</w:t>
      </w:r>
    </w:p>
    <w:p w14:paraId="0312035C" w14:textId="43DB55D1" w:rsidR="00B01C0A" w:rsidRPr="006D3810" w:rsidRDefault="00B01C0A" w:rsidP="00B01C0A">
      <w:pPr>
        <w:jc w:val="both"/>
        <w:rPr>
          <w:bCs/>
          <w:color w:val="000000"/>
        </w:rPr>
      </w:pPr>
      <w:r w:rsidRPr="001A6F57">
        <w:rPr>
          <w:b/>
          <w:bCs/>
          <w:color w:val="000000"/>
        </w:rPr>
        <w:t>Acknowledgment:</w:t>
      </w:r>
      <w:r>
        <w:rPr>
          <w:bCs/>
          <w:color w:val="000000"/>
        </w:rPr>
        <w:t xml:space="preserve"> </w:t>
      </w:r>
      <w:r w:rsidRPr="001955C2">
        <w:rPr>
          <w:bCs/>
          <w:color w:val="000000"/>
        </w:rPr>
        <w:t>Research funded</w:t>
      </w:r>
      <w:r>
        <w:rPr>
          <w:bCs/>
          <w:color w:val="000000"/>
        </w:rPr>
        <w:t xml:space="preserve"> by BONE</w:t>
      </w:r>
      <w:r w:rsidRPr="001955C2">
        <w:rPr>
          <w:bCs/>
          <w:color w:val="000000"/>
        </w:rPr>
        <w:t xml:space="preserve"> </w:t>
      </w:r>
      <w:r w:rsidR="0040624B">
        <w:rPr>
          <w:bCs/>
          <w:color w:val="000000"/>
        </w:rPr>
        <w:t xml:space="preserve">INTERREG </w:t>
      </w:r>
      <w:r>
        <w:rPr>
          <w:bCs/>
          <w:color w:val="000000"/>
        </w:rPr>
        <w:t>North</w:t>
      </w:r>
      <w:r w:rsidR="005B4BD8">
        <w:rPr>
          <w:bCs/>
          <w:color w:val="000000"/>
        </w:rPr>
        <w:t>-</w:t>
      </w:r>
      <w:r>
        <w:rPr>
          <w:bCs/>
          <w:color w:val="000000"/>
        </w:rPr>
        <w:t>West Europe, European Regional Development Fund</w:t>
      </w:r>
    </w:p>
    <w:p w14:paraId="65179339" w14:textId="4E00E23A" w:rsidR="0037781B" w:rsidRDefault="005A55D8" w:rsidP="00B01C0A">
      <w:r w:rsidRPr="005F6022">
        <w:rPr>
          <w:b/>
        </w:rPr>
        <w:t>Reference</w:t>
      </w:r>
      <w:r>
        <w:t xml:space="preserve">: </w:t>
      </w:r>
      <w:r w:rsidRPr="00585982">
        <w:t>[1] G. Nilsson Hall, L.F. Mendes, C. Gklava, L. Geris, F.P. Luyten, I. Papantoniou, Developmentally Engineered Callus Organoid Bioassemblies Exhibit Predictive In Vivo Long Bone Healing, Adv. Sci. 7 (2020) 1–16. doi:10.1002/advs.201902295.</w:t>
      </w:r>
    </w:p>
    <w:p w14:paraId="12F3B459" w14:textId="48FA90E6" w:rsidR="003C55E8" w:rsidRDefault="005817F5" w:rsidP="00B01C0A">
      <w:r w:rsidRPr="005817F5">
        <w:rPr>
          <w:b/>
        </w:rPr>
        <w:t>Key words</w:t>
      </w:r>
      <w:r>
        <w:t>: spheroids, endochondral ossification, melt-electrowriting</w:t>
      </w:r>
    </w:p>
    <w:sectPr w:rsidR="003C5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79EC" w14:textId="77777777" w:rsidR="00C400B9" w:rsidRDefault="00C400B9" w:rsidP="00FD55D7">
      <w:pPr>
        <w:spacing w:after="0" w:line="240" w:lineRule="auto"/>
      </w:pPr>
      <w:r>
        <w:separator/>
      </w:r>
    </w:p>
  </w:endnote>
  <w:endnote w:type="continuationSeparator" w:id="0">
    <w:p w14:paraId="7CFA7D13" w14:textId="77777777" w:rsidR="00C400B9" w:rsidRDefault="00C400B9" w:rsidP="00FD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97AF" w14:textId="77777777" w:rsidR="00C400B9" w:rsidRDefault="00C400B9" w:rsidP="00FD55D7">
      <w:pPr>
        <w:spacing w:after="0" w:line="240" w:lineRule="auto"/>
      </w:pPr>
      <w:r>
        <w:separator/>
      </w:r>
    </w:p>
  </w:footnote>
  <w:footnote w:type="continuationSeparator" w:id="0">
    <w:p w14:paraId="7F4A154F" w14:textId="77777777" w:rsidR="00C400B9" w:rsidRDefault="00C400B9" w:rsidP="00FD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E5B4" w14:textId="5BFA367A" w:rsidR="00FD55D7" w:rsidRDefault="003C55E8">
    <w:pPr>
      <w:pStyle w:val="a7"/>
    </w:pPr>
    <w:r>
      <w:t>13</w:t>
    </w:r>
    <w:r w:rsidRPr="003C55E8">
      <w:rPr>
        <w:vertAlign w:val="superscript"/>
      </w:rPr>
      <w:t>th</w:t>
    </w:r>
    <w:r>
      <w:t xml:space="preserve"> Panhellenic Scientific Conference of Chemical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6D19"/>
    <w:multiLevelType w:val="hybridMultilevel"/>
    <w:tmpl w:val="1DACC3EE"/>
    <w:lvl w:ilvl="0" w:tplc="0598F7B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B"/>
    <w:rsid w:val="00010788"/>
    <w:rsid w:val="00011DD9"/>
    <w:rsid w:val="00017F76"/>
    <w:rsid w:val="00022624"/>
    <w:rsid w:val="00022948"/>
    <w:rsid w:val="00040FCE"/>
    <w:rsid w:val="00041F76"/>
    <w:rsid w:val="000421D7"/>
    <w:rsid w:val="00042985"/>
    <w:rsid w:val="000445C7"/>
    <w:rsid w:val="000463A9"/>
    <w:rsid w:val="000569EB"/>
    <w:rsid w:val="00063CF1"/>
    <w:rsid w:val="000958F5"/>
    <w:rsid w:val="000A5BBF"/>
    <w:rsid w:val="000A66CB"/>
    <w:rsid w:val="000C50C1"/>
    <w:rsid w:val="000C686D"/>
    <w:rsid w:val="000E1051"/>
    <w:rsid w:val="000E1DFE"/>
    <w:rsid w:val="000E6526"/>
    <w:rsid w:val="00121F82"/>
    <w:rsid w:val="00123700"/>
    <w:rsid w:val="0013725D"/>
    <w:rsid w:val="0018126F"/>
    <w:rsid w:val="00195BD3"/>
    <w:rsid w:val="00196EAF"/>
    <w:rsid w:val="001D1B42"/>
    <w:rsid w:val="001D76DA"/>
    <w:rsid w:val="001E2C36"/>
    <w:rsid w:val="001F0DA9"/>
    <w:rsid w:val="001F12AD"/>
    <w:rsid w:val="001F30C6"/>
    <w:rsid w:val="00211EA1"/>
    <w:rsid w:val="00226BE6"/>
    <w:rsid w:val="00244D8C"/>
    <w:rsid w:val="00251D9E"/>
    <w:rsid w:val="00253353"/>
    <w:rsid w:val="00257245"/>
    <w:rsid w:val="00257321"/>
    <w:rsid w:val="00280AE3"/>
    <w:rsid w:val="00294984"/>
    <w:rsid w:val="00294BD3"/>
    <w:rsid w:val="002950F0"/>
    <w:rsid w:val="002A5C09"/>
    <w:rsid w:val="002A7AB3"/>
    <w:rsid w:val="002B4837"/>
    <w:rsid w:val="002C59C1"/>
    <w:rsid w:val="002E4D0F"/>
    <w:rsid w:val="002E74E5"/>
    <w:rsid w:val="002E7FCF"/>
    <w:rsid w:val="002F2E97"/>
    <w:rsid w:val="002F5BD8"/>
    <w:rsid w:val="00312B36"/>
    <w:rsid w:val="00323F47"/>
    <w:rsid w:val="00324CEE"/>
    <w:rsid w:val="00331A05"/>
    <w:rsid w:val="0034416A"/>
    <w:rsid w:val="003510B7"/>
    <w:rsid w:val="003560C4"/>
    <w:rsid w:val="00366297"/>
    <w:rsid w:val="0036733D"/>
    <w:rsid w:val="0037781B"/>
    <w:rsid w:val="003A0B2F"/>
    <w:rsid w:val="003A22CF"/>
    <w:rsid w:val="003B09C1"/>
    <w:rsid w:val="003C55E8"/>
    <w:rsid w:val="003C70D5"/>
    <w:rsid w:val="003E362F"/>
    <w:rsid w:val="003E4325"/>
    <w:rsid w:val="0040095B"/>
    <w:rsid w:val="0040624B"/>
    <w:rsid w:val="00421289"/>
    <w:rsid w:val="004348CD"/>
    <w:rsid w:val="00443DA9"/>
    <w:rsid w:val="0044727A"/>
    <w:rsid w:val="0045090F"/>
    <w:rsid w:val="00454B16"/>
    <w:rsid w:val="0046226E"/>
    <w:rsid w:val="00472512"/>
    <w:rsid w:val="00472635"/>
    <w:rsid w:val="00476406"/>
    <w:rsid w:val="00476653"/>
    <w:rsid w:val="00476D00"/>
    <w:rsid w:val="00484875"/>
    <w:rsid w:val="004A3CD9"/>
    <w:rsid w:val="004A426D"/>
    <w:rsid w:val="004B0990"/>
    <w:rsid w:val="004B465F"/>
    <w:rsid w:val="004C48B7"/>
    <w:rsid w:val="004C4B85"/>
    <w:rsid w:val="004C51D4"/>
    <w:rsid w:val="004D1A96"/>
    <w:rsid w:val="004F616B"/>
    <w:rsid w:val="004F658B"/>
    <w:rsid w:val="004F7EDD"/>
    <w:rsid w:val="00506B47"/>
    <w:rsid w:val="00507AB6"/>
    <w:rsid w:val="0053187C"/>
    <w:rsid w:val="00536E91"/>
    <w:rsid w:val="00537C43"/>
    <w:rsid w:val="00565E81"/>
    <w:rsid w:val="00566D54"/>
    <w:rsid w:val="00573245"/>
    <w:rsid w:val="005769C8"/>
    <w:rsid w:val="005817F5"/>
    <w:rsid w:val="00582F1B"/>
    <w:rsid w:val="00595636"/>
    <w:rsid w:val="005A2564"/>
    <w:rsid w:val="005A55D8"/>
    <w:rsid w:val="005A5BC3"/>
    <w:rsid w:val="005B4BD8"/>
    <w:rsid w:val="005C26F7"/>
    <w:rsid w:val="005C50DF"/>
    <w:rsid w:val="005C665A"/>
    <w:rsid w:val="005D0F33"/>
    <w:rsid w:val="005E347D"/>
    <w:rsid w:val="005E7422"/>
    <w:rsid w:val="005E7C3D"/>
    <w:rsid w:val="005F47E5"/>
    <w:rsid w:val="005F4BA9"/>
    <w:rsid w:val="00615CB9"/>
    <w:rsid w:val="006253E9"/>
    <w:rsid w:val="0064040C"/>
    <w:rsid w:val="006431AA"/>
    <w:rsid w:val="00643624"/>
    <w:rsid w:val="00643A48"/>
    <w:rsid w:val="00670D4A"/>
    <w:rsid w:val="006732A9"/>
    <w:rsid w:val="006B0D83"/>
    <w:rsid w:val="006C7065"/>
    <w:rsid w:val="006F7005"/>
    <w:rsid w:val="007038F2"/>
    <w:rsid w:val="0071061B"/>
    <w:rsid w:val="007272A8"/>
    <w:rsid w:val="0073251C"/>
    <w:rsid w:val="00744504"/>
    <w:rsid w:val="00745B61"/>
    <w:rsid w:val="0075277F"/>
    <w:rsid w:val="00756B1C"/>
    <w:rsid w:val="00773338"/>
    <w:rsid w:val="00773519"/>
    <w:rsid w:val="00776399"/>
    <w:rsid w:val="007805E4"/>
    <w:rsid w:val="007A4D1F"/>
    <w:rsid w:val="007B6974"/>
    <w:rsid w:val="007E0F59"/>
    <w:rsid w:val="007E7C1B"/>
    <w:rsid w:val="007F7FA9"/>
    <w:rsid w:val="00807A16"/>
    <w:rsid w:val="00811872"/>
    <w:rsid w:val="008274F6"/>
    <w:rsid w:val="00834884"/>
    <w:rsid w:val="008417CF"/>
    <w:rsid w:val="008542E2"/>
    <w:rsid w:val="0085676F"/>
    <w:rsid w:val="00864292"/>
    <w:rsid w:val="00866FE7"/>
    <w:rsid w:val="00875C37"/>
    <w:rsid w:val="00881492"/>
    <w:rsid w:val="00883BDC"/>
    <w:rsid w:val="00886D10"/>
    <w:rsid w:val="00887FA6"/>
    <w:rsid w:val="008A5C8B"/>
    <w:rsid w:val="008C4250"/>
    <w:rsid w:val="008C549C"/>
    <w:rsid w:val="008C6E96"/>
    <w:rsid w:val="008D30B4"/>
    <w:rsid w:val="008E0273"/>
    <w:rsid w:val="008E6D6E"/>
    <w:rsid w:val="008F5071"/>
    <w:rsid w:val="008F6982"/>
    <w:rsid w:val="0091737E"/>
    <w:rsid w:val="009305E1"/>
    <w:rsid w:val="0095072B"/>
    <w:rsid w:val="0095266B"/>
    <w:rsid w:val="00992662"/>
    <w:rsid w:val="009A43F1"/>
    <w:rsid w:val="009A4F15"/>
    <w:rsid w:val="009A76E2"/>
    <w:rsid w:val="009C1AEA"/>
    <w:rsid w:val="009C72EF"/>
    <w:rsid w:val="009E7E16"/>
    <w:rsid w:val="00A4557B"/>
    <w:rsid w:val="00A5048F"/>
    <w:rsid w:val="00A52BCE"/>
    <w:rsid w:val="00A60EC6"/>
    <w:rsid w:val="00A62B44"/>
    <w:rsid w:val="00A65184"/>
    <w:rsid w:val="00A7095E"/>
    <w:rsid w:val="00A77C09"/>
    <w:rsid w:val="00A80561"/>
    <w:rsid w:val="00A85022"/>
    <w:rsid w:val="00A8611A"/>
    <w:rsid w:val="00A87BF3"/>
    <w:rsid w:val="00A9233F"/>
    <w:rsid w:val="00AC13ED"/>
    <w:rsid w:val="00AC7B01"/>
    <w:rsid w:val="00AD1A66"/>
    <w:rsid w:val="00AD1E81"/>
    <w:rsid w:val="00AE4C47"/>
    <w:rsid w:val="00AF167B"/>
    <w:rsid w:val="00AF42C5"/>
    <w:rsid w:val="00B01C0A"/>
    <w:rsid w:val="00B062A2"/>
    <w:rsid w:val="00B2275D"/>
    <w:rsid w:val="00B26BC7"/>
    <w:rsid w:val="00B47205"/>
    <w:rsid w:val="00B53F5B"/>
    <w:rsid w:val="00B62FDB"/>
    <w:rsid w:val="00B64A93"/>
    <w:rsid w:val="00B65166"/>
    <w:rsid w:val="00B72FFA"/>
    <w:rsid w:val="00BA7C40"/>
    <w:rsid w:val="00BA7FC2"/>
    <w:rsid w:val="00BB5B22"/>
    <w:rsid w:val="00BF5D04"/>
    <w:rsid w:val="00C05635"/>
    <w:rsid w:val="00C16311"/>
    <w:rsid w:val="00C20D3A"/>
    <w:rsid w:val="00C33496"/>
    <w:rsid w:val="00C400B9"/>
    <w:rsid w:val="00C524E1"/>
    <w:rsid w:val="00C579D9"/>
    <w:rsid w:val="00C6099F"/>
    <w:rsid w:val="00C90EB2"/>
    <w:rsid w:val="00CA32CD"/>
    <w:rsid w:val="00CA4B83"/>
    <w:rsid w:val="00CA6B82"/>
    <w:rsid w:val="00CD17D5"/>
    <w:rsid w:val="00CF061A"/>
    <w:rsid w:val="00D01F27"/>
    <w:rsid w:val="00D07BCA"/>
    <w:rsid w:val="00D15525"/>
    <w:rsid w:val="00D266A3"/>
    <w:rsid w:val="00D36234"/>
    <w:rsid w:val="00D4241E"/>
    <w:rsid w:val="00D52BF6"/>
    <w:rsid w:val="00D606A8"/>
    <w:rsid w:val="00D6245A"/>
    <w:rsid w:val="00D90848"/>
    <w:rsid w:val="00DA0B3B"/>
    <w:rsid w:val="00DA70D4"/>
    <w:rsid w:val="00DB274E"/>
    <w:rsid w:val="00DB2E75"/>
    <w:rsid w:val="00E0648C"/>
    <w:rsid w:val="00E106A0"/>
    <w:rsid w:val="00E124E0"/>
    <w:rsid w:val="00E341EE"/>
    <w:rsid w:val="00E608B5"/>
    <w:rsid w:val="00E62893"/>
    <w:rsid w:val="00E631B6"/>
    <w:rsid w:val="00E77398"/>
    <w:rsid w:val="00E831F9"/>
    <w:rsid w:val="00E85AAC"/>
    <w:rsid w:val="00E95526"/>
    <w:rsid w:val="00E974A7"/>
    <w:rsid w:val="00EA0384"/>
    <w:rsid w:val="00EB320E"/>
    <w:rsid w:val="00EB5835"/>
    <w:rsid w:val="00EC5505"/>
    <w:rsid w:val="00EC5784"/>
    <w:rsid w:val="00ED1589"/>
    <w:rsid w:val="00EE37F7"/>
    <w:rsid w:val="00EF03CA"/>
    <w:rsid w:val="00F026A0"/>
    <w:rsid w:val="00F0335C"/>
    <w:rsid w:val="00F05873"/>
    <w:rsid w:val="00F23693"/>
    <w:rsid w:val="00F5356C"/>
    <w:rsid w:val="00F56E9F"/>
    <w:rsid w:val="00F833B3"/>
    <w:rsid w:val="00F85B14"/>
    <w:rsid w:val="00FC05CB"/>
    <w:rsid w:val="00FD0113"/>
    <w:rsid w:val="00FD55D7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BBB8"/>
  <w15:chartTrackingRefBased/>
  <w15:docId w15:val="{78281122-5CCA-422A-9398-04D3FBCF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1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a4">
    <w:name w:val="annotation reference"/>
    <w:basedOn w:val="a0"/>
    <w:uiPriority w:val="99"/>
    <w:semiHidden/>
    <w:unhideWhenUsed/>
    <w:rsid w:val="007A4D1F"/>
    <w:rPr>
      <w:rFonts w:cs="Times New Roman"/>
      <w:sz w:val="16"/>
    </w:rPr>
  </w:style>
  <w:style w:type="paragraph" w:styleId="a5">
    <w:name w:val="annotation text"/>
    <w:basedOn w:val="a"/>
    <w:link w:val="Char"/>
    <w:uiPriority w:val="99"/>
    <w:semiHidden/>
    <w:unhideWhenUsed/>
    <w:rsid w:val="007A4D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har">
    <w:name w:val="Κείμενο σχολίου Char"/>
    <w:basedOn w:val="a0"/>
    <w:link w:val="a5"/>
    <w:uiPriority w:val="99"/>
    <w:semiHidden/>
    <w:rsid w:val="007A4D1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a6">
    <w:name w:val="Balloon Text"/>
    <w:basedOn w:val="a"/>
    <w:link w:val="Char0"/>
    <w:uiPriority w:val="99"/>
    <w:semiHidden/>
    <w:unhideWhenUsed/>
    <w:rsid w:val="007A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A4D1F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Char1"/>
    <w:uiPriority w:val="99"/>
    <w:unhideWhenUsed/>
    <w:rsid w:val="00FD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D55D7"/>
    <w:rPr>
      <w:lang w:val="en-US"/>
    </w:rPr>
  </w:style>
  <w:style w:type="paragraph" w:styleId="a8">
    <w:name w:val="footer"/>
    <w:basedOn w:val="a"/>
    <w:link w:val="Char2"/>
    <w:uiPriority w:val="99"/>
    <w:unhideWhenUsed/>
    <w:rsid w:val="00FD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FD55D7"/>
    <w:rPr>
      <w:lang w:val="en-US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FD55D7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3">
    <w:name w:val="Θέμα σχολίου Char"/>
    <w:basedOn w:val="Char"/>
    <w:link w:val="a9"/>
    <w:uiPriority w:val="99"/>
    <w:semiHidden/>
    <w:rsid w:val="00FD55D7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aa">
    <w:name w:val="Revision"/>
    <w:hidden/>
    <w:uiPriority w:val="99"/>
    <w:semiHidden/>
    <w:rsid w:val="009305E1"/>
    <w:pPr>
      <w:spacing w:after="0" w:line="240" w:lineRule="auto"/>
    </w:pPr>
    <w:rPr>
      <w:lang w:val="en-US"/>
    </w:rPr>
  </w:style>
  <w:style w:type="character" w:styleId="-">
    <w:name w:val="Hyperlink"/>
    <w:basedOn w:val="a0"/>
    <w:uiPriority w:val="99"/>
    <w:unhideWhenUsed/>
    <w:rsid w:val="005B4BD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annis.papantoniou@ku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Nilsson Hall</dc:creator>
  <cp:keywords/>
  <dc:description/>
  <cp:lastModifiedBy>Konstantinos Ioannidis</cp:lastModifiedBy>
  <cp:revision>5</cp:revision>
  <dcterms:created xsi:type="dcterms:W3CDTF">2022-02-13T10:17:00Z</dcterms:created>
  <dcterms:modified xsi:type="dcterms:W3CDTF">2022-02-13T11:35:00Z</dcterms:modified>
</cp:coreProperties>
</file>