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141A1358" w:rsidR="00257888" w:rsidRPr="006A44A4" w:rsidRDefault="4377C763" w:rsidP="4377C763">
      <w:pPr>
        <w:spacing w:after="120" w:line="240" w:lineRule="auto"/>
        <w:jc w:val="center"/>
        <w:rPr>
          <w:rStyle w:val="hps"/>
          <w:rFonts w:ascii="Calibri" w:eastAsia="Calibri" w:hAnsi="Calibri" w:cs="Calibri"/>
          <w:b/>
          <w:bCs/>
          <w:lang w:val="en-US"/>
        </w:rPr>
      </w:pPr>
      <w:r w:rsidRPr="4377C763">
        <w:rPr>
          <w:rFonts w:ascii="Calibri" w:eastAsia="Calibri" w:hAnsi="Calibri" w:cs="Calibri"/>
          <w:b/>
          <w:bCs/>
          <w:lang w:val="en-US"/>
        </w:rPr>
        <w:t>A NEW HUMAN BIOMONITORING STUDY IN GREEK PREGNANT WOMEN IN THE FRAME OF HBM4EU-MOM STUDY EXPLORING THE MERCURY EXPOSURE</w:t>
      </w:r>
      <w:r w:rsidRPr="4377C763">
        <w:rPr>
          <w:rStyle w:val="hps"/>
          <w:rFonts w:ascii="Calibri" w:eastAsia="Calibri" w:hAnsi="Calibri" w:cs="Calibri"/>
          <w:b/>
          <w:bCs/>
          <w:lang w:val="en-US"/>
        </w:rPr>
        <w:t xml:space="preserve"> </w:t>
      </w:r>
    </w:p>
    <w:p w14:paraId="7186BB36" w14:textId="77777777" w:rsidR="002937B1" w:rsidRPr="006A44A4" w:rsidRDefault="002937B1" w:rsidP="4377C763">
      <w:pPr>
        <w:tabs>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ascii="Calibri" w:eastAsia="Calibri" w:hAnsi="Calibri" w:cs="Calibri"/>
          <w:b/>
          <w:bCs/>
          <w:caps/>
          <w:color w:val="auto"/>
          <w:lang w:val="en-US" w:eastAsia="el-GR"/>
        </w:rPr>
      </w:pPr>
    </w:p>
    <w:p w14:paraId="355817A7" w14:textId="158927B3" w:rsidR="006A44A4" w:rsidRPr="006A44A4" w:rsidRDefault="4377C763" w:rsidP="4377C763">
      <w:pPr>
        <w:pStyle w:val="ListParagraph"/>
        <w:spacing w:before="0" w:line="240" w:lineRule="auto"/>
        <w:ind w:left="0"/>
        <w:contextualSpacing w:val="0"/>
        <w:jc w:val="center"/>
        <w:rPr>
          <w:rFonts w:ascii="Calibri" w:eastAsia="Calibri" w:hAnsi="Calibri" w:cs="Calibri"/>
          <w:b/>
          <w:bCs/>
          <w:color w:val="000000" w:themeColor="text1"/>
          <w:sz w:val="24"/>
          <w:szCs w:val="24"/>
          <w:lang w:val="en-US"/>
        </w:rPr>
      </w:pPr>
      <w:r w:rsidRPr="4377C763">
        <w:rPr>
          <w:rFonts w:ascii="Calibri" w:eastAsia="Calibri" w:hAnsi="Calibri" w:cs="Calibri"/>
          <w:b/>
          <w:bCs/>
          <w:color w:val="000000" w:themeColor="text1"/>
          <w:sz w:val="24"/>
          <w:szCs w:val="24"/>
          <w:lang w:val="en-US"/>
        </w:rPr>
        <w:t>A. Chatzimpaloglou</w:t>
      </w:r>
      <w:r w:rsidRPr="4377C763">
        <w:rPr>
          <w:rFonts w:ascii="Calibri" w:eastAsia="Calibri" w:hAnsi="Calibri" w:cs="Calibri"/>
          <w:b/>
          <w:bCs/>
          <w:color w:val="000000" w:themeColor="text1"/>
          <w:sz w:val="24"/>
          <w:szCs w:val="24"/>
          <w:vertAlign w:val="superscript"/>
          <w:lang w:val="en-US"/>
        </w:rPr>
        <w:t>1,2</w:t>
      </w:r>
      <w:r w:rsidRPr="4377C763">
        <w:rPr>
          <w:rFonts w:ascii="Calibri" w:eastAsia="Calibri" w:hAnsi="Calibri" w:cs="Calibri"/>
          <w:b/>
          <w:bCs/>
          <w:color w:val="000000" w:themeColor="text1"/>
          <w:sz w:val="24"/>
          <w:szCs w:val="24"/>
          <w:lang w:val="en-US"/>
        </w:rPr>
        <w:t>, C. Gabriel</w:t>
      </w:r>
      <w:r w:rsidRPr="4377C763">
        <w:rPr>
          <w:rFonts w:ascii="Calibri" w:eastAsia="Calibri" w:hAnsi="Calibri" w:cs="Calibri"/>
          <w:b/>
          <w:bCs/>
          <w:color w:val="000000" w:themeColor="text1"/>
          <w:sz w:val="24"/>
          <w:szCs w:val="24"/>
          <w:vertAlign w:val="superscript"/>
          <w:lang w:val="en-US"/>
        </w:rPr>
        <w:t>1,</w:t>
      </w:r>
      <w:proofErr w:type="gramStart"/>
      <w:r w:rsidRPr="4377C763">
        <w:rPr>
          <w:rFonts w:ascii="Calibri" w:eastAsia="Calibri" w:hAnsi="Calibri" w:cs="Calibri"/>
          <w:b/>
          <w:bCs/>
          <w:color w:val="000000" w:themeColor="text1"/>
          <w:sz w:val="24"/>
          <w:szCs w:val="24"/>
          <w:vertAlign w:val="superscript"/>
          <w:lang w:val="en-US"/>
        </w:rPr>
        <w:t xml:space="preserve">2 </w:t>
      </w:r>
      <w:r w:rsidRPr="4377C763">
        <w:rPr>
          <w:rFonts w:ascii="Calibri" w:eastAsia="Calibri" w:hAnsi="Calibri" w:cs="Calibri"/>
          <w:b/>
          <w:bCs/>
          <w:color w:val="000000" w:themeColor="text1"/>
          <w:sz w:val="24"/>
          <w:szCs w:val="24"/>
          <w:lang w:val="en-US"/>
        </w:rPr>
        <w:t>,</w:t>
      </w:r>
      <w:proofErr w:type="gramEnd"/>
      <w:r w:rsidRPr="4377C763">
        <w:rPr>
          <w:rFonts w:ascii="Calibri" w:eastAsia="Calibri" w:hAnsi="Calibri" w:cs="Calibri"/>
          <w:b/>
          <w:bCs/>
          <w:color w:val="000000" w:themeColor="text1"/>
          <w:sz w:val="24"/>
          <w:szCs w:val="24"/>
          <w:lang w:val="en-US"/>
        </w:rPr>
        <w:t xml:space="preserve"> A. karakoltzidis</w:t>
      </w:r>
      <w:r w:rsidRPr="4377C763">
        <w:rPr>
          <w:rFonts w:ascii="Calibri" w:eastAsia="Calibri" w:hAnsi="Calibri" w:cs="Calibri"/>
          <w:b/>
          <w:bCs/>
          <w:color w:val="000000" w:themeColor="text1"/>
          <w:sz w:val="24"/>
          <w:szCs w:val="24"/>
          <w:vertAlign w:val="superscript"/>
          <w:lang w:val="en-US"/>
        </w:rPr>
        <w:t>1,2</w:t>
      </w:r>
      <w:r w:rsidRPr="4377C763">
        <w:rPr>
          <w:rFonts w:ascii="Calibri" w:eastAsia="Calibri" w:hAnsi="Calibri" w:cs="Calibri"/>
          <w:b/>
          <w:bCs/>
          <w:color w:val="000000" w:themeColor="text1"/>
          <w:sz w:val="24"/>
          <w:szCs w:val="24"/>
          <w:lang w:val="en-US"/>
        </w:rPr>
        <w:t>, S. Karakitsios</w:t>
      </w:r>
      <w:r w:rsidRPr="4377C763">
        <w:rPr>
          <w:rFonts w:ascii="Calibri" w:eastAsia="Calibri" w:hAnsi="Calibri" w:cs="Calibri"/>
          <w:b/>
          <w:bCs/>
          <w:color w:val="000000" w:themeColor="text1"/>
          <w:sz w:val="24"/>
          <w:szCs w:val="24"/>
          <w:vertAlign w:val="superscript"/>
          <w:lang w:val="en-US"/>
        </w:rPr>
        <w:t>1,2</w:t>
      </w:r>
      <w:r w:rsidRPr="4377C763">
        <w:rPr>
          <w:rFonts w:ascii="Calibri" w:eastAsia="Calibri" w:hAnsi="Calibri" w:cs="Calibri"/>
          <w:b/>
          <w:bCs/>
          <w:color w:val="000000" w:themeColor="text1"/>
          <w:sz w:val="24"/>
          <w:szCs w:val="24"/>
          <w:lang w:val="en-US"/>
        </w:rPr>
        <w:t>, D.A. Sarigiannis</w:t>
      </w:r>
      <w:r w:rsidRPr="4377C763">
        <w:rPr>
          <w:rFonts w:ascii="Calibri" w:eastAsia="Calibri" w:hAnsi="Calibri" w:cs="Calibri"/>
          <w:b/>
          <w:bCs/>
          <w:color w:val="000000" w:themeColor="text1"/>
          <w:sz w:val="24"/>
          <w:szCs w:val="24"/>
          <w:vertAlign w:val="superscript"/>
          <w:lang w:val="en-US"/>
        </w:rPr>
        <w:t>1,2,3</w:t>
      </w:r>
    </w:p>
    <w:p w14:paraId="0F903FA2" w14:textId="77777777" w:rsidR="006A44A4" w:rsidRPr="006A44A4" w:rsidRDefault="006A44A4" w:rsidP="006A44A4">
      <w:pPr>
        <w:pStyle w:val="ListParagraph"/>
        <w:spacing w:before="0" w:line="240" w:lineRule="auto"/>
        <w:ind w:left="0"/>
        <w:contextualSpacing w:val="0"/>
        <w:jc w:val="center"/>
        <w:rPr>
          <w:rFonts w:cs="Times New Roman"/>
          <w:b/>
          <w:color w:val="000000" w:themeColor="text1"/>
          <w:sz w:val="24"/>
          <w:szCs w:val="24"/>
          <w:lang w:val="en-US"/>
        </w:rPr>
      </w:pPr>
    </w:p>
    <w:p w14:paraId="2BE5D4C9" w14:textId="49C4C908" w:rsidR="006A44A4" w:rsidRPr="006A44A4" w:rsidRDefault="006A44A4" w:rsidP="00E8302D">
      <w:pPr>
        <w:pStyle w:val="ListParagraph"/>
        <w:spacing w:before="0" w:line="240" w:lineRule="auto"/>
        <w:ind w:left="0"/>
        <w:contextualSpacing w:val="0"/>
        <w:jc w:val="center"/>
        <w:rPr>
          <w:rFonts w:cs="Times New Roman"/>
          <w:color w:val="000000" w:themeColor="text1"/>
          <w:sz w:val="24"/>
          <w:szCs w:val="24"/>
          <w:lang w:val="en-US"/>
        </w:rPr>
      </w:pPr>
      <w:r w:rsidRPr="00E8302D">
        <w:rPr>
          <w:rFonts w:cs="Times New Roman"/>
          <w:color w:val="000000" w:themeColor="text1"/>
          <w:sz w:val="24"/>
          <w:szCs w:val="24"/>
          <w:vertAlign w:val="superscript"/>
          <w:lang w:val="en-US"/>
        </w:rPr>
        <w:t>1</w:t>
      </w:r>
      <w:r w:rsidRPr="006A44A4">
        <w:rPr>
          <w:rFonts w:cs="Times New Roman"/>
          <w:color w:val="000000" w:themeColor="text1"/>
          <w:sz w:val="24"/>
          <w:szCs w:val="24"/>
          <w:lang w:val="en-US"/>
        </w:rPr>
        <w:t xml:space="preserve"> HERACLES Research Center – CIRI, Aristotle University of Thessaloniki, Greece</w:t>
      </w:r>
    </w:p>
    <w:p w14:paraId="2B20FFEF" w14:textId="77777777" w:rsidR="006A44A4" w:rsidRPr="006A44A4" w:rsidRDefault="006A44A4" w:rsidP="00E8302D">
      <w:pPr>
        <w:pStyle w:val="ListParagraph"/>
        <w:spacing w:before="0" w:line="240" w:lineRule="auto"/>
        <w:ind w:left="0"/>
        <w:contextualSpacing w:val="0"/>
        <w:jc w:val="center"/>
        <w:rPr>
          <w:rFonts w:cs="Times New Roman"/>
          <w:color w:val="000000" w:themeColor="text1"/>
          <w:sz w:val="24"/>
          <w:szCs w:val="24"/>
          <w:lang w:val="en-US"/>
        </w:rPr>
      </w:pPr>
      <w:r w:rsidRPr="00E8302D">
        <w:rPr>
          <w:rFonts w:cs="Times New Roman"/>
          <w:color w:val="000000" w:themeColor="text1"/>
          <w:sz w:val="24"/>
          <w:szCs w:val="24"/>
          <w:vertAlign w:val="superscript"/>
          <w:lang w:val="en-US"/>
        </w:rPr>
        <w:t>2</w:t>
      </w:r>
      <w:r w:rsidRPr="006A44A4">
        <w:rPr>
          <w:rFonts w:cs="Times New Roman"/>
          <w:color w:val="000000" w:themeColor="text1"/>
          <w:sz w:val="24"/>
          <w:szCs w:val="24"/>
          <w:lang w:val="en-US"/>
        </w:rPr>
        <w:t xml:space="preserve"> Environmental Engineering Laboratory, Department of Chemical Engineering, Aristotle University of Thessaloniki, Greece</w:t>
      </w:r>
    </w:p>
    <w:p w14:paraId="6263299C" w14:textId="1D610AEE" w:rsidR="006A44A4" w:rsidRPr="006A44A4" w:rsidRDefault="006A44A4" w:rsidP="00E8302D">
      <w:pPr>
        <w:spacing w:line="240" w:lineRule="auto"/>
        <w:jc w:val="center"/>
        <w:rPr>
          <w:rStyle w:val="Hyperlink"/>
          <w:rFonts w:cs="Times New Roman"/>
          <w:i/>
          <w:szCs w:val="24"/>
          <w:lang w:val="en-US"/>
        </w:rPr>
      </w:pPr>
      <w:r w:rsidRPr="00E8302D">
        <w:rPr>
          <w:rFonts w:cs="Times New Roman"/>
          <w:szCs w:val="24"/>
          <w:vertAlign w:val="superscript"/>
        </w:rPr>
        <w:t>3</w:t>
      </w:r>
      <w:r w:rsidRPr="006A44A4">
        <w:rPr>
          <w:rFonts w:cs="Times New Roman"/>
          <w:szCs w:val="24"/>
        </w:rPr>
        <w:t xml:space="preserve"> Environmental Health Engineering, School for Advanced Study IUSS, Pavia, Italy</w:t>
      </w:r>
    </w:p>
    <w:p w14:paraId="5C972B3D" w14:textId="3529DA08" w:rsidR="00257888" w:rsidRPr="00E8302D" w:rsidRDefault="4377C763" w:rsidP="4377C763">
      <w:pPr>
        <w:pStyle w:val="ListParagraph"/>
        <w:spacing w:before="0" w:line="240" w:lineRule="auto"/>
        <w:ind w:left="0"/>
        <w:contextualSpacing w:val="0"/>
        <w:jc w:val="center"/>
        <w:rPr>
          <w:rStyle w:val="hps"/>
          <w:rFonts w:cs="Times New Roman"/>
          <w:b/>
          <w:bCs/>
          <w:sz w:val="24"/>
          <w:szCs w:val="24"/>
          <w:lang w:val="en-US"/>
        </w:rPr>
      </w:pPr>
      <w:r w:rsidRPr="4377C763">
        <w:rPr>
          <w:rStyle w:val="Hyperlink"/>
          <w:rFonts w:cs="Times New Roman"/>
          <w:i/>
          <w:iCs/>
          <w:sz w:val="24"/>
          <w:szCs w:val="24"/>
          <w:lang w:val="en-US"/>
        </w:rPr>
        <w:t xml:space="preserve"> *  </w:t>
      </w:r>
      <w:bookmarkStart w:id="0" w:name="_GoBack"/>
      <w:bookmarkEnd w:id="0"/>
      <w:r w:rsidR="00CD2F98" w:rsidRPr="00CD2F98">
        <w:rPr>
          <w:rStyle w:val="Hyperlink"/>
          <w:rFonts w:cs="Times New Roman"/>
          <w:i/>
          <w:iCs/>
          <w:sz w:val="24"/>
          <w:szCs w:val="24"/>
          <w:lang w:val="en-US"/>
        </w:rPr>
        <w:t>sarigiannis@auth.gr</w:t>
      </w:r>
    </w:p>
    <w:p w14:paraId="163A4917" w14:textId="77777777" w:rsidR="0075703D" w:rsidRPr="00E8302D" w:rsidRDefault="0075703D" w:rsidP="001327BE">
      <w:pPr>
        <w:spacing w:after="20" w:line="240" w:lineRule="auto"/>
        <w:jc w:val="both"/>
        <w:rPr>
          <w:rStyle w:val="hps"/>
          <w:rFonts w:cs="Times New Roman"/>
          <w:b/>
          <w:szCs w:val="24"/>
          <w:lang w:val="en-US"/>
        </w:rPr>
      </w:pPr>
    </w:p>
    <w:p w14:paraId="2E62B893" w14:textId="4FC5D8F4" w:rsidR="002937B1" w:rsidRPr="00E8302D" w:rsidRDefault="4377C763" w:rsidP="4377C763">
      <w:pPr>
        <w:spacing w:after="20" w:line="240" w:lineRule="auto"/>
        <w:jc w:val="both"/>
        <w:rPr>
          <w:rStyle w:val="hps"/>
          <w:rFonts w:ascii="Calibri" w:eastAsia="Calibri" w:hAnsi="Calibri" w:cs="Calibri"/>
          <w:b/>
          <w:bCs/>
          <w:lang w:val="en-US"/>
        </w:rPr>
      </w:pPr>
      <w:r w:rsidRPr="4377C763">
        <w:rPr>
          <w:rStyle w:val="hps"/>
          <w:rFonts w:ascii="Calibri" w:eastAsia="Calibri" w:hAnsi="Calibri" w:cs="Calibri"/>
          <w:b/>
          <w:bCs/>
          <w:lang w:val="en-US"/>
        </w:rPr>
        <w:t>ABSTRACT</w:t>
      </w:r>
    </w:p>
    <w:p w14:paraId="6D02BA96" w14:textId="60388DEE" w:rsidR="00055CAD" w:rsidRDefault="4377C763" w:rsidP="4377C763">
      <w:pPr>
        <w:spacing w:after="20" w:line="240" w:lineRule="auto"/>
        <w:jc w:val="both"/>
        <w:rPr>
          <w:rStyle w:val="hps"/>
          <w:rFonts w:ascii="Calibri" w:eastAsia="Calibri" w:hAnsi="Calibri" w:cs="Calibri"/>
          <w:lang w:val="en-US"/>
        </w:rPr>
      </w:pPr>
      <w:r w:rsidRPr="4377C763">
        <w:rPr>
          <w:rStyle w:val="hps"/>
          <w:rFonts w:ascii="Calibri" w:eastAsia="Calibri" w:hAnsi="Calibri" w:cs="Calibri"/>
          <w:lang w:val="en-US"/>
        </w:rPr>
        <w:t>Mercury and its compounds are toxic and placed among the most important substances of global importance. Toxicity depends on mercury compounds, route of exposure and duration. The European population is mostly exposed to organic mercury (mercury-</w:t>
      </w:r>
      <w:proofErr w:type="spellStart"/>
      <w:r w:rsidRPr="4377C763">
        <w:rPr>
          <w:rStyle w:val="hps"/>
          <w:rFonts w:ascii="Calibri" w:eastAsia="Calibri" w:hAnsi="Calibri" w:cs="Calibri"/>
          <w:lang w:val="en-US"/>
        </w:rPr>
        <w:t>MeHg</w:t>
      </w:r>
      <w:proofErr w:type="spellEnd"/>
      <w:r w:rsidRPr="4377C763">
        <w:rPr>
          <w:rStyle w:val="hps"/>
          <w:rFonts w:ascii="Calibri" w:eastAsia="Calibri" w:hAnsi="Calibri" w:cs="Calibri"/>
          <w:lang w:val="en-US"/>
        </w:rPr>
        <w:t xml:space="preserve"> monomers) due to fish consumption; while exposure to inorganic and elemental mercury is largely associated with dental amalgams, accidental spills of elemental mercury, and food produced in contaminated sites.</w:t>
      </w:r>
    </w:p>
    <w:p w14:paraId="3A3FCDC8" w14:textId="40D7F602" w:rsidR="006A44A4" w:rsidRPr="006A44A4" w:rsidRDefault="4377C763" w:rsidP="4377C763">
      <w:pPr>
        <w:spacing w:after="20" w:line="240" w:lineRule="auto"/>
        <w:jc w:val="both"/>
        <w:rPr>
          <w:rStyle w:val="hps"/>
          <w:rFonts w:ascii="Calibri" w:eastAsia="Calibri" w:hAnsi="Calibri" w:cs="Calibri"/>
          <w:lang w:val="en-US"/>
        </w:rPr>
      </w:pPr>
      <w:r w:rsidRPr="4377C763">
        <w:rPr>
          <w:rStyle w:val="hps"/>
          <w:rFonts w:ascii="Calibri" w:eastAsia="Calibri" w:hAnsi="Calibri" w:cs="Calibri"/>
          <w:lang w:val="en-US"/>
        </w:rPr>
        <w:t xml:space="preserve">Previous studies have shown that mercury levels in European population are higher in countries with higher fish consumption. However, because of the provided beneficial nutrients, fish are an essential component of the human diet. In order to reduce exposure and avoid adverse health effects, it is extremely important to balance the risks and benefits of eating fish, </w:t>
      </w:r>
      <w:proofErr w:type="gramStart"/>
      <w:r w:rsidRPr="4377C763">
        <w:rPr>
          <w:rStyle w:val="hps"/>
          <w:rFonts w:ascii="Calibri" w:eastAsia="Calibri" w:hAnsi="Calibri" w:cs="Calibri"/>
          <w:lang w:val="en-US"/>
        </w:rPr>
        <w:t>especially  in</w:t>
      </w:r>
      <w:proofErr w:type="gramEnd"/>
      <w:r w:rsidRPr="4377C763">
        <w:rPr>
          <w:rStyle w:val="hps"/>
          <w:rFonts w:ascii="Calibri" w:eastAsia="Calibri" w:hAnsi="Calibri" w:cs="Calibri"/>
          <w:lang w:val="en-US"/>
        </w:rPr>
        <w:t xml:space="preserve"> vulnerable groups such as pregnant women.</w:t>
      </w:r>
    </w:p>
    <w:p w14:paraId="3CC64F2B" w14:textId="55A7773C" w:rsidR="006A44A4" w:rsidRPr="006A44A4" w:rsidRDefault="4377C763" w:rsidP="4377C763">
      <w:pPr>
        <w:spacing w:after="20" w:line="240" w:lineRule="auto"/>
        <w:jc w:val="both"/>
        <w:rPr>
          <w:rStyle w:val="hps"/>
          <w:rFonts w:ascii="Calibri" w:eastAsia="Calibri" w:hAnsi="Calibri" w:cs="Calibri"/>
          <w:lang w:val="en-US"/>
        </w:rPr>
      </w:pPr>
      <w:r w:rsidRPr="4377C763">
        <w:rPr>
          <w:rStyle w:val="hps"/>
          <w:rFonts w:ascii="Calibri" w:eastAsia="Calibri" w:hAnsi="Calibri" w:cs="Calibri"/>
          <w:lang w:val="en-US"/>
        </w:rPr>
        <w:t>Most European countries do not have official guidelines for the consumption of fish during pregnancy, and even if these guidelines exist, they are often not communicated to women in an appropriate way. As such, under the European Human Biomonitoring Initiative (HBM4EU) an intervention study – HBM4EU-MOM – is being developed in five European countries with high fish consumption (Cyprus, Greece, Iceland, Portugal, Spain) to help pregnant women reduce prenatal exposure, while ensure the nutritional benefits of fish by developing and raising awareness of specific recommendations for fish consumption during pregnancy.</w:t>
      </w:r>
    </w:p>
    <w:p w14:paraId="1ED7F279" w14:textId="645EEE66" w:rsidR="006A44A4" w:rsidRPr="006A44A4" w:rsidRDefault="4377C763" w:rsidP="4377C763">
      <w:pPr>
        <w:spacing w:after="20" w:line="240" w:lineRule="auto"/>
        <w:jc w:val="both"/>
        <w:rPr>
          <w:rStyle w:val="hps"/>
          <w:rFonts w:ascii="Calibri" w:eastAsia="Calibri" w:hAnsi="Calibri" w:cs="Calibri"/>
          <w:lang w:val="en-US"/>
        </w:rPr>
      </w:pPr>
      <w:r w:rsidRPr="4377C763">
        <w:rPr>
          <w:rStyle w:val="hps"/>
          <w:rFonts w:ascii="Calibri" w:eastAsia="Calibri" w:hAnsi="Calibri" w:cs="Calibri"/>
          <w:lang w:val="en-US"/>
        </w:rPr>
        <w:t xml:space="preserve">This presentation will highlight the work performed, including the harmonized development of the intervention and support materials to be implemented in Greece, one of the </w:t>
      </w:r>
      <w:proofErr w:type="spellStart"/>
      <w:r w:rsidRPr="4377C763">
        <w:rPr>
          <w:rStyle w:val="hps"/>
          <w:rFonts w:ascii="Calibri" w:eastAsia="Calibri" w:hAnsi="Calibri" w:cs="Calibri"/>
          <w:lang w:val="en-US"/>
        </w:rPr>
        <w:t>afforemention</w:t>
      </w:r>
      <w:proofErr w:type="spellEnd"/>
      <w:r w:rsidRPr="4377C763">
        <w:rPr>
          <w:rStyle w:val="hps"/>
          <w:rFonts w:ascii="Calibri" w:eastAsia="Calibri" w:hAnsi="Calibri" w:cs="Calibri"/>
          <w:lang w:val="en-US"/>
        </w:rPr>
        <w:t xml:space="preserve"> countries. Preliminary results on the implementation of the developed intervention and its evaluation using Human Biomonitoring will be also presented.</w:t>
      </w:r>
    </w:p>
    <w:p w14:paraId="58EA06F2" w14:textId="5D7DDB3B" w:rsidR="006A44A4" w:rsidRPr="003F0560" w:rsidRDefault="4377C763" w:rsidP="4377C763">
      <w:pPr>
        <w:spacing w:after="20" w:line="240" w:lineRule="auto"/>
        <w:jc w:val="both"/>
        <w:rPr>
          <w:rStyle w:val="hps"/>
          <w:rFonts w:ascii="Calibri" w:eastAsia="Calibri" w:hAnsi="Calibri" w:cs="Calibri"/>
          <w:lang w:val="en-US"/>
        </w:rPr>
      </w:pPr>
      <w:r w:rsidRPr="4377C763">
        <w:rPr>
          <w:rStyle w:val="hps"/>
          <w:rFonts w:ascii="Calibri" w:eastAsia="Calibri" w:hAnsi="Calibri" w:cs="Calibri"/>
          <w:lang w:val="en-US"/>
        </w:rPr>
        <w:t xml:space="preserve">This work is funded under HBM4EU and has received funding from the European Union’s Horizon 2020 research and innovation </w:t>
      </w:r>
      <w:proofErr w:type="spellStart"/>
      <w:r w:rsidRPr="4377C763">
        <w:rPr>
          <w:rStyle w:val="hps"/>
          <w:rFonts w:ascii="Calibri" w:eastAsia="Calibri" w:hAnsi="Calibri" w:cs="Calibri"/>
          <w:lang w:val="en-US"/>
        </w:rPr>
        <w:t>programme</w:t>
      </w:r>
      <w:proofErr w:type="spellEnd"/>
      <w:r w:rsidRPr="4377C763">
        <w:rPr>
          <w:rStyle w:val="hps"/>
          <w:rFonts w:ascii="Calibri" w:eastAsia="Calibri" w:hAnsi="Calibri" w:cs="Calibri"/>
          <w:lang w:val="en-US"/>
        </w:rPr>
        <w:t xml:space="preserve"> under grant agreement No 733032.</w:t>
      </w:r>
    </w:p>
    <w:p w14:paraId="47CE261A" w14:textId="2610EB38" w:rsidR="00055CAD" w:rsidRPr="003F0560" w:rsidRDefault="00055CAD" w:rsidP="4377C763">
      <w:pPr>
        <w:spacing w:after="20" w:line="240" w:lineRule="auto"/>
        <w:jc w:val="both"/>
        <w:rPr>
          <w:rStyle w:val="hps"/>
          <w:rFonts w:ascii="Calibri" w:eastAsia="Calibri" w:hAnsi="Calibri" w:cs="Calibri"/>
          <w:lang w:val="en-US"/>
        </w:rPr>
      </w:pPr>
    </w:p>
    <w:p w14:paraId="2A6E70CF" w14:textId="400F800F" w:rsidR="00670DAB" w:rsidRPr="00ED4A18" w:rsidRDefault="7610208B" w:rsidP="4377C763">
      <w:pPr>
        <w:spacing w:after="20" w:line="240" w:lineRule="auto"/>
        <w:jc w:val="both"/>
        <w:rPr>
          <w:rFonts w:ascii="Calibri" w:eastAsia="Calibri" w:hAnsi="Calibri" w:cs="Calibri"/>
          <w:b/>
          <w:bCs/>
          <w:sz w:val="20"/>
          <w:szCs w:val="20"/>
          <w:lang w:val="en-US"/>
        </w:rPr>
      </w:pPr>
      <w:r w:rsidRPr="7610208B">
        <w:rPr>
          <w:rFonts w:ascii="Calibri" w:eastAsia="Calibri" w:hAnsi="Calibri" w:cs="Calibri"/>
          <w:b/>
          <w:bCs/>
          <w:sz w:val="20"/>
          <w:szCs w:val="20"/>
          <w:lang w:val="en-US"/>
        </w:rPr>
        <w:t xml:space="preserve">KEYWORDS: </w:t>
      </w:r>
      <w:proofErr w:type="spellStart"/>
      <w:r w:rsidRPr="7610208B">
        <w:rPr>
          <w:rFonts w:ascii="Calibri" w:eastAsia="Calibri" w:hAnsi="Calibri" w:cs="Calibri"/>
          <w:sz w:val="20"/>
          <w:szCs w:val="20"/>
          <w:lang w:val="en-US"/>
        </w:rPr>
        <w:t>MeHg</w:t>
      </w:r>
      <w:proofErr w:type="spellEnd"/>
      <w:r w:rsidRPr="7610208B">
        <w:rPr>
          <w:rFonts w:ascii="Calibri" w:eastAsia="Calibri" w:hAnsi="Calibri" w:cs="Calibri"/>
          <w:sz w:val="20"/>
          <w:szCs w:val="20"/>
          <w:lang w:val="en-US"/>
        </w:rPr>
        <w:t xml:space="preserve">, </w:t>
      </w:r>
      <w:proofErr w:type="spellStart"/>
      <w:r w:rsidRPr="7610208B">
        <w:rPr>
          <w:rFonts w:ascii="Calibri" w:eastAsia="Calibri" w:hAnsi="Calibri" w:cs="Calibri"/>
          <w:sz w:val="20"/>
          <w:szCs w:val="20"/>
          <w:lang w:val="en-US"/>
        </w:rPr>
        <w:t>Pregnat</w:t>
      </w:r>
      <w:proofErr w:type="spellEnd"/>
      <w:r w:rsidRPr="7610208B">
        <w:rPr>
          <w:rFonts w:ascii="Calibri" w:eastAsia="Calibri" w:hAnsi="Calibri" w:cs="Calibri"/>
          <w:sz w:val="20"/>
          <w:szCs w:val="20"/>
          <w:lang w:val="en-US"/>
        </w:rPr>
        <w:t xml:space="preserve"> women, Intervention, Fish consumption </w:t>
      </w:r>
      <w:r w:rsidRPr="7610208B">
        <w:rPr>
          <w:rFonts w:ascii="Calibri" w:eastAsia="Calibri" w:hAnsi="Calibri" w:cs="Calibri"/>
          <w:b/>
          <w:bCs/>
          <w:sz w:val="20"/>
          <w:szCs w:val="20"/>
          <w:lang w:val="en-US"/>
        </w:rPr>
        <w:t xml:space="preserve"> </w:t>
      </w:r>
    </w:p>
    <w:p w14:paraId="71B43080" w14:textId="28B5A4C6" w:rsidR="000E7582" w:rsidRPr="006A44A4" w:rsidRDefault="000E7582" w:rsidP="4377C763">
      <w:pPr>
        <w:spacing w:after="20" w:line="240" w:lineRule="auto"/>
        <w:jc w:val="both"/>
        <w:rPr>
          <w:rFonts w:ascii="Calibri" w:eastAsia="Calibri" w:hAnsi="Calibri" w:cs="Calibri"/>
          <w:b/>
          <w:bCs/>
          <w:lang w:val="en-US"/>
        </w:rPr>
      </w:pPr>
    </w:p>
    <w:p w14:paraId="1D7BAB28" w14:textId="7CBA440C" w:rsidR="004F7B38" w:rsidRPr="006A44A4" w:rsidRDefault="004F7B38" w:rsidP="4377C763">
      <w:pPr>
        <w:spacing w:after="20" w:line="240" w:lineRule="auto"/>
        <w:jc w:val="both"/>
        <w:rPr>
          <w:rFonts w:ascii="Calibri" w:eastAsia="Calibri" w:hAnsi="Calibri" w:cs="Calibri"/>
          <w:b/>
          <w:bCs/>
          <w:lang w:val="en-US"/>
        </w:rPr>
      </w:pPr>
    </w:p>
    <w:sectPr w:rsidR="004F7B38" w:rsidRPr="006A44A4"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9DA8" w14:textId="77777777" w:rsidR="0000789E" w:rsidRDefault="0000789E" w:rsidP="00B10FCD">
      <w:pPr>
        <w:spacing w:after="0" w:line="240" w:lineRule="auto"/>
      </w:pPr>
      <w:r>
        <w:separator/>
      </w:r>
    </w:p>
  </w:endnote>
  <w:endnote w:type="continuationSeparator" w:id="0">
    <w:p w14:paraId="7C0FCEB8" w14:textId="77777777" w:rsidR="0000789E" w:rsidRDefault="0000789E"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8F23DD" w:rsidRPr="008F23DD">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C6AD" w14:textId="77777777" w:rsidR="0000789E" w:rsidRDefault="0000789E" w:rsidP="00B10FCD">
      <w:pPr>
        <w:spacing w:after="0" w:line="240" w:lineRule="auto"/>
      </w:pPr>
      <w:r>
        <w:separator/>
      </w:r>
    </w:p>
  </w:footnote>
  <w:footnote w:type="continuationSeparator" w:id="0">
    <w:p w14:paraId="4E195646" w14:textId="77777777" w:rsidR="0000789E" w:rsidRDefault="0000789E"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0789E"/>
    <w:rsid w:val="00055CAD"/>
    <w:rsid w:val="000E7582"/>
    <w:rsid w:val="00124B6D"/>
    <w:rsid w:val="001327BE"/>
    <w:rsid w:val="00134726"/>
    <w:rsid w:val="00137B0D"/>
    <w:rsid w:val="00257888"/>
    <w:rsid w:val="002607CE"/>
    <w:rsid w:val="0027478C"/>
    <w:rsid w:val="002937B1"/>
    <w:rsid w:val="002938E7"/>
    <w:rsid w:val="002B13CB"/>
    <w:rsid w:val="003F0560"/>
    <w:rsid w:val="004C2490"/>
    <w:rsid w:val="004F7B38"/>
    <w:rsid w:val="005A4565"/>
    <w:rsid w:val="00655B78"/>
    <w:rsid w:val="00670DAB"/>
    <w:rsid w:val="006A44A4"/>
    <w:rsid w:val="00705DF0"/>
    <w:rsid w:val="0075703D"/>
    <w:rsid w:val="008F23DD"/>
    <w:rsid w:val="00915963"/>
    <w:rsid w:val="00935497"/>
    <w:rsid w:val="009803F2"/>
    <w:rsid w:val="00997EF7"/>
    <w:rsid w:val="009C653D"/>
    <w:rsid w:val="00A84D47"/>
    <w:rsid w:val="00AA4FE7"/>
    <w:rsid w:val="00AB16ED"/>
    <w:rsid w:val="00AD393E"/>
    <w:rsid w:val="00AF459A"/>
    <w:rsid w:val="00B10FCD"/>
    <w:rsid w:val="00B36AC7"/>
    <w:rsid w:val="00C04EBD"/>
    <w:rsid w:val="00C07544"/>
    <w:rsid w:val="00C55D63"/>
    <w:rsid w:val="00C84852"/>
    <w:rsid w:val="00CD2F98"/>
    <w:rsid w:val="00CF4EEC"/>
    <w:rsid w:val="00D678BE"/>
    <w:rsid w:val="00DA5472"/>
    <w:rsid w:val="00DE346C"/>
    <w:rsid w:val="00E63CAC"/>
    <w:rsid w:val="00E8302D"/>
    <w:rsid w:val="00E853C3"/>
    <w:rsid w:val="00E87E35"/>
    <w:rsid w:val="00EA14ED"/>
    <w:rsid w:val="00ED4A18"/>
    <w:rsid w:val="00ED7AD7"/>
    <w:rsid w:val="4377C763"/>
    <w:rsid w:val="761020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1C80B22-F937-43FA-AC53-DFC221B3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EnvE</cp:lastModifiedBy>
  <cp:revision>14</cp:revision>
  <cp:lastPrinted>2016-12-14T08:08:00Z</cp:lastPrinted>
  <dcterms:created xsi:type="dcterms:W3CDTF">2022-01-07T09:17:00Z</dcterms:created>
  <dcterms:modified xsi:type="dcterms:W3CDTF">2022-02-13T08:52:00Z</dcterms:modified>
</cp:coreProperties>
</file>