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AB70" w14:textId="5CF97EBD" w:rsidR="00DC51FC" w:rsidRDefault="007D1ED0" w:rsidP="00B45C39">
      <w:pPr>
        <w:jc w:val="center"/>
        <w:rPr>
          <w:b/>
          <w:bCs/>
          <w:sz w:val="36"/>
          <w:szCs w:val="36"/>
        </w:rPr>
      </w:pPr>
      <w:r w:rsidRPr="00B45C39">
        <w:rPr>
          <w:b/>
          <w:bCs/>
          <w:sz w:val="36"/>
          <w:szCs w:val="36"/>
        </w:rPr>
        <w:t>Green synthesis of graphene aerogels</w:t>
      </w:r>
    </w:p>
    <w:p w14:paraId="660928A2" w14:textId="77777777" w:rsidR="00C05A4F" w:rsidRDefault="00C05A4F" w:rsidP="00C05A4F">
      <w:pPr>
        <w:rPr>
          <w:b/>
          <w:bCs/>
          <w:sz w:val="24"/>
          <w:szCs w:val="24"/>
        </w:rPr>
      </w:pPr>
    </w:p>
    <w:p w14:paraId="3FEC3039" w14:textId="073EE0BA" w:rsidR="00BD50D8" w:rsidRPr="00C05A4F" w:rsidRDefault="00807653" w:rsidP="00C05A4F">
      <w:pPr>
        <w:jc w:val="center"/>
        <w:rPr>
          <w:b/>
          <w:bCs/>
          <w:sz w:val="24"/>
          <w:szCs w:val="24"/>
          <w:vertAlign w:val="superscript"/>
        </w:rPr>
      </w:pPr>
      <w:r w:rsidRPr="00BB313F">
        <w:rPr>
          <w:b/>
          <w:bCs/>
          <w:sz w:val="24"/>
          <w:szCs w:val="24"/>
        </w:rPr>
        <w:t>G. Gorgolis</w:t>
      </w:r>
      <w:proofErr w:type="gramStart"/>
      <w:r w:rsidR="0017245F" w:rsidRPr="00BB313F">
        <w:rPr>
          <w:b/>
          <w:bCs/>
          <w:sz w:val="24"/>
          <w:szCs w:val="24"/>
          <w:vertAlign w:val="superscript"/>
        </w:rPr>
        <w:t>1,</w:t>
      </w:r>
      <w:r w:rsidR="0032493B" w:rsidRPr="00BB313F">
        <w:rPr>
          <w:b/>
          <w:bCs/>
          <w:sz w:val="24"/>
          <w:szCs w:val="24"/>
          <w:vertAlign w:val="superscript"/>
        </w:rPr>
        <w:t>#</w:t>
      </w:r>
      <w:proofErr w:type="gramEnd"/>
      <w:r w:rsidRPr="00BB313F">
        <w:rPr>
          <w:b/>
          <w:bCs/>
          <w:sz w:val="24"/>
          <w:szCs w:val="24"/>
        </w:rPr>
        <w:t>, G. Paterakis</w:t>
      </w:r>
      <w:r w:rsidR="0017245F" w:rsidRPr="00BB313F">
        <w:rPr>
          <w:b/>
          <w:bCs/>
          <w:sz w:val="24"/>
          <w:szCs w:val="24"/>
          <w:vertAlign w:val="superscript"/>
        </w:rPr>
        <w:t>2</w:t>
      </w:r>
      <w:r w:rsidRPr="00BB313F">
        <w:rPr>
          <w:b/>
          <w:bCs/>
          <w:sz w:val="24"/>
          <w:szCs w:val="24"/>
        </w:rPr>
        <w:t>, I. Sfougaris</w:t>
      </w:r>
      <w:r w:rsidR="0017245F" w:rsidRPr="00BB313F">
        <w:rPr>
          <w:b/>
          <w:bCs/>
          <w:sz w:val="24"/>
          <w:szCs w:val="24"/>
          <w:vertAlign w:val="superscript"/>
        </w:rPr>
        <w:t>1</w:t>
      </w:r>
      <w:r w:rsidRPr="00BB313F">
        <w:rPr>
          <w:b/>
          <w:bCs/>
          <w:sz w:val="24"/>
          <w:szCs w:val="24"/>
        </w:rPr>
        <w:t>, N. Koutroumanis</w:t>
      </w:r>
      <w:r w:rsidR="0017245F" w:rsidRPr="00BB313F">
        <w:rPr>
          <w:b/>
          <w:bCs/>
          <w:sz w:val="24"/>
          <w:szCs w:val="24"/>
          <w:vertAlign w:val="superscript"/>
        </w:rPr>
        <w:t>2</w:t>
      </w:r>
      <w:r w:rsidRPr="00BB313F">
        <w:rPr>
          <w:b/>
          <w:bCs/>
          <w:sz w:val="24"/>
          <w:szCs w:val="24"/>
        </w:rPr>
        <w:t>, B. Saner Okan</w:t>
      </w:r>
      <w:r w:rsidR="0017245F" w:rsidRPr="00BB313F">
        <w:rPr>
          <w:b/>
          <w:bCs/>
          <w:sz w:val="24"/>
          <w:szCs w:val="24"/>
          <w:vertAlign w:val="superscript"/>
        </w:rPr>
        <w:t>3</w:t>
      </w:r>
      <w:r w:rsidR="00CB70C2">
        <w:rPr>
          <w:b/>
          <w:bCs/>
          <w:sz w:val="24"/>
          <w:szCs w:val="24"/>
          <w:vertAlign w:val="superscript"/>
        </w:rPr>
        <w:t>,4</w:t>
      </w:r>
      <w:r w:rsidRPr="00BB313F">
        <w:rPr>
          <w:b/>
          <w:bCs/>
          <w:sz w:val="24"/>
          <w:szCs w:val="24"/>
        </w:rPr>
        <w:t>, C.Galiotis</w:t>
      </w:r>
      <w:r w:rsidR="00A120E8" w:rsidRPr="00BB313F">
        <w:rPr>
          <w:b/>
          <w:bCs/>
          <w:sz w:val="24"/>
          <w:szCs w:val="24"/>
          <w:vertAlign w:val="superscript"/>
        </w:rPr>
        <w:t>1,2</w:t>
      </w:r>
      <w:r w:rsidR="00ED5E50">
        <w:rPr>
          <w:b/>
          <w:bCs/>
          <w:sz w:val="24"/>
          <w:szCs w:val="24"/>
          <w:vertAlign w:val="superscript"/>
        </w:rPr>
        <w:t>,</w:t>
      </w:r>
      <w:r w:rsidR="0032493B" w:rsidRPr="00BB313F">
        <w:rPr>
          <w:b/>
          <w:bCs/>
          <w:sz w:val="24"/>
          <w:szCs w:val="24"/>
          <w:vertAlign w:val="superscript"/>
        </w:rPr>
        <w:t>*</w:t>
      </w:r>
    </w:p>
    <w:p w14:paraId="06448B98" w14:textId="421F2571" w:rsidR="00D60D80" w:rsidRDefault="00D60D80" w:rsidP="00B45C39">
      <w:pPr>
        <w:jc w:val="center"/>
        <w:rPr>
          <w:sz w:val="24"/>
          <w:szCs w:val="24"/>
        </w:rPr>
      </w:pPr>
      <w:r w:rsidRPr="00D60D80">
        <w:rPr>
          <w:sz w:val="24"/>
          <w:szCs w:val="24"/>
          <w:vertAlign w:val="superscript"/>
        </w:rPr>
        <w:t>1</w:t>
      </w:r>
      <w:r>
        <w:rPr>
          <w:sz w:val="24"/>
          <w:szCs w:val="24"/>
        </w:rPr>
        <w:t>Department of Chemical Engineering, University of Patras</w:t>
      </w:r>
    </w:p>
    <w:p w14:paraId="54314939" w14:textId="49D9A111" w:rsidR="00D60D80" w:rsidRDefault="00D60D80" w:rsidP="00B45C39">
      <w:pPr>
        <w:jc w:val="center"/>
        <w:rPr>
          <w:sz w:val="24"/>
          <w:szCs w:val="24"/>
        </w:rPr>
      </w:pPr>
      <w:r w:rsidRPr="0061061A">
        <w:rPr>
          <w:sz w:val="24"/>
          <w:szCs w:val="24"/>
          <w:vertAlign w:val="superscript"/>
        </w:rPr>
        <w:t>2</w:t>
      </w:r>
      <w:r>
        <w:rPr>
          <w:sz w:val="24"/>
          <w:szCs w:val="24"/>
        </w:rPr>
        <w:t>Foundation for Research and Technology – Institute of Chemical Engineering Sciences</w:t>
      </w:r>
    </w:p>
    <w:p w14:paraId="3D04DBD2" w14:textId="0DB68054" w:rsidR="00287CBE" w:rsidRDefault="00287CBE" w:rsidP="00B45C39">
      <w:pPr>
        <w:jc w:val="center"/>
        <w:rPr>
          <w:rFonts w:cstheme="minorHAnsi"/>
          <w:color w:val="111111"/>
          <w:sz w:val="24"/>
          <w:szCs w:val="24"/>
          <w:shd w:val="clear" w:color="auto" w:fill="FFFFFF"/>
        </w:rPr>
      </w:pPr>
      <w:r w:rsidRPr="0036176F">
        <w:rPr>
          <w:rFonts w:cstheme="minorHAnsi"/>
          <w:sz w:val="24"/>
          <w:szCs w:val="24"/>
          <w:vertAlign w:val="superscript"/>
        </w:rPr>
        <w:t>3</w:t>
      </w:r>
      <w:r w:rsidR="00D90A41" w:rsidRPr="00D90A41">
        <w:rPr>
          <w:rFonts w:cstheme="minorHAnsi"/>
          <w:color w:val="111111"/>
          <w:sz w:val="24"/>
          <w:szCs w:val="24"/>
          <w:shd w:val="clear" w:color="auto" w:fill="FFFFFF"/>
        </w:rPr>
        <w:t>Integrated Manufacturing Technologies Research and Application Center</w:t>
      </w:r>
      <w:r w:rsidR="00D90A41">
        <w:rPr>
          <w:rFonts w:cstheme="minorHAnsi"/>
          <w:color w:val="111111"/>
          <w:sz w:val="24"/>
          <w:szCs w:val="24"/>
          <w:shd w:val="clear" w:color="auto" w:fill="FFFFFF"/>
        </w:rPr>
        <w:t xml:space="preserve">, </w:t>
      </w:r>
      <w:proofErr w:type="spellStart"/>
      <w:r w:rsidR="00D90A41">
        <w:rPr>
          <w:rFonts w:cstheme="minorHAnsi"/>
          <w:color w:val="111111"/>
          <w:sz w:val="24"/>
          <w:szCs w:val="24"/>
          <w:shd w:val="clear" w:color="auto" w:fill="FFFFFF"/>
        </w:rPr>
        <w:t>Sabanci</w:t>
      </w:r>
      <w:proofErr w:type="spellEnd"/>
      <w:r w:rsidR="00D90A41">
        <w:rPr>
          <w:rFonts w:cstheme="minorHAnsi"/>
          <w:color w:val="111111"/>
          <w:sz w:val="24"/>
          <w:szCs w:val="24"/>
          <w:shd w:val="clear" w:color="auto" w:fill="FFFFFF"/>
        </w:rPr>
        <w:t xml:space="preserve"> University</w:t>
      </w:r>
    </w:p>
    <w:p w14:paraId="2D65BF21" w14:textId="7DA984F9" w:rsidR="00CB462A" w:rsidRDefault="00CB462A" w:rsidP="00B45C39">
      <w:pPr>
        <w:jc w:val="center"/>
        <w:rPr>
          <w:rFonts w:cstheme="minorHAnsi"/>
          <w:color w:val="111111"/>
          <w:sz w:val="24"/>
          <w:szCs w:val="24"/>
          <w:shd w:val="clear" w:color="auto" w:fill="FFFFFF"/>
        </w:rPr>
      </w:pPr>
      <w:r w:rsidRPr="00301128">
        <w:rPr>
          <w:rFonts w:cstheme="minorHAnsi"/>
          <w:color w:val="111111"/>
          <w:sz w:val="24"/>
          <w:szCs w:val="24"/>
          <w:shd w:val="clear" w:color="auto" w:fill="FFFFFF"/>
          <w:vertAlign w:val="superscript"/>
        </w:rPr>
        <w:t>4</w:t>
      </w:r>
      <w:r w:rsidR="00301128">
        <w:rPr>
          <w:rFonts w:cstheme="minorHAnsi"/>
          <w:color w:val="111111"/>
          <w:sz w:val="24"/>
          <w:szCs w:val="24"/>
          <w:shd w:val="clear" w:color="auto" w:fill="FFFFFF"/>
        </w:rPr>
        <w:t xml:space="preserve">NANOGRAFEN - </w:t>
      </w:r>
      <w:r w:rsidR="00FE18A9" w:rsidRPr="00301128">
        <w:rPr>
          <w:rFonts w:cstheme="minorHAnsi"/>
          <w:color w:val="111111"/>
          <w:sz w:val="24"/>
          <w:szCs w:val="24"/>
          <w:shd w:val="clear" w:color="auto" w:fill="FFFFFF"/>
        </w:rPr>
        <w:t>Nanotechnological</w:t>
      </w:r>
      <w:r w:rsidR="00FE18A9" w:rsidRPr="00FE18A9">
        <w:rPr>
          <w:rFonts w:cstheme="minorHAnsi"/>
          <w:color w:val="111111"/>
          <w:sz w:val="24"/>
          <w:szCs w:val="24"/>
          <w:shd w:val="clear" w:color="auto" w:fill="FFFFFF"/>
        </w:rPr>
        <w:t xml:space="preserve"> Products Chemistry R&amp;D Consulting Industry and Trade Ltd</w:t>
      </w:r>
      <w:r w:rsidR="00301128">
        <w:rPr>
          <w:rFonts w:cstheme="minorHAnsi"/>
          <w:color w:val="111111"/>
          <w:sz w:val="24"/>
          <w:szCs w:val="24"/>
          <w:shd w:val="clear" w:color="auto" w:fill="FFFFFF"/>
        </w:rPr>
        <w:t>.</w:t>
      </w:r>
    </w:p>
    <w:p w14:paraId="18A4E7CD" w14:textId="2BF6AF53" w:rsidR="007B12ED" w:rsidRDefault="007B12ED" w:rsidP="00B45C39">
      <w:pPr>
        <w:jc w:val="center"/>
        <w:rPr>
          <w:rFonts w:cstheme="minorHAnsi"/>
          <w:color w:val="111111"/>
          <w:sz w:val="24"/>
          <w:szCs w:val="24"/>
          <w:shd w:val="clear" w:color="auto" w:fill="FFFFFF"/>
        </w:rPr>
      </w:pPr>
      <w:r>
        <w:rPr>
          <w:rFonts w:cstheme="minorHAnsi"/>
          <w:color w:val="111111"/>
          <w:sz w:val="24"/>
          <w:szCs w:val="24"/>
          <w:shd w:val="clear" w:color="auto" w:fill="FFFFFF"/>
        </w:rPr>
        <w:t>(</w:t>
      </w:r>
      <w:r w:rsidRPr="009D3FC7">
        <w:rPr>
          <w:rFonts w:cstheme="minorHAnsi"/>
          <w:color w:val="111111"/>
          <w:sz w:val="24"/>
          <w:szCs w:val="24"/>
          <w:shd w:val="clear" w:color="auto" w:fill="FFFFFF"/>
          <w:vertAlign w:val="superscript"/>
        </w:rPr>
        <w:t>#</w:t>
      </w:r>
      <w:hyperlink r:id="rId5" w:history="1">
        <w:r w:rsidR="00C05A4F" w:rsidRPr="00AB7FD9">
          <w:rPr>
            <w:rStyle w:val="Hyperlink"/>
            <w:rFonts w:cstheme="minorHAnsi"/>
            <w:sz w:val="24"/>
            <w:szCs w:val="24"/>
            <w:shd w:val="clear" w:color="auto" w:fill="FFFFFF"/>
          </w:rPr>
          <w:t>ggorgolis@iceht.forth.gr</w:t>
        </w:r>
      </w:hyperlink>
      <w:r>
        <w:rPr>
          <w:rFonts w:cstheme="minorHAnsi"/>
          <w:color w:val="111111"/>
          <w:sz w:val="24"/>
          <w:szCs w:val="24"/>
          <w:shd w:val="clear" w:color="auto" w:fill="FFFFFF"/>
        </w:rPr>
        <w:t xml:space="preserve">, </w:t>
      </w:r>
      <w:r w:rsidRPr="009D3FC7">
        <w:rPr>
          <w:rFonts w:cstheme="minorHAnsi"/>
          <w:color w:val="111111"/>
          <w:sz w:val="24"/>
          <w:szCs w:val="24"/>
          <w:shd w:val="clear" w:color="auto" w:fill="FFFFFF"/>
          <w:vertAlign w:val="superscript"/>
        </w:rPr>
        <w:t>*</w:t>
      </w:r>
      <w:hyperlink r:id="rId6" w:history="1">
        <w:r w:rsidR="009D3FC7" w:rsidRPr="00AB7FD9">
          <w:rPr>
            <w:rStyle w:val="Hyperlink"/>
            <w:rFonts w:cstheme="minorHAnsi"/>
            <w:sz w:val="24"/>
            <w:szCs w:val="24"/>
            <w:shd w:val="clear" w:color="auto" w:fill="FFFFFF"/>
          </w:rPr>
          <w:t>c.galiotis@iceht.forth.gr</w:t>
        </w:r>
      </w:hyperlink>
      <w:r>
        <w:rPr>
          <w:rFonts w:cstheme="minorHAnsi"/>
          <w:color w:val="111111"/>
          <w:sz w:val="24"/>
          <w:szCs w:val="24"/>
          <w:shd w:val="clear" w:color="auto" w:fill="FFFFFF"/>
        </w:rPr>
        <w:t>)</w:t>
      </w:r>
    </w:p>
    <w:p w14:paraId="31B0CF81" w14:textId="67156539" w:rsidR="00757F44" w:rsidRDefault="00757F44" w:rsidP="00B45C39">
      <w:pPr>
        <w:jc w:val="center"/>
        <w:rPr>
          <w:rFonts w:cstheme="minorHAnsi"/>
          <w:color w:val="111111"/>
          <w:sz w:val="24"/>
          <w:szCs w:val="24"/>
          <w:shd w:val="clear" w:color="auto" w:fill="FFFFFF"/>
        </w:rPr>
      </w:pPr>
    </w:p>
    <w:p w14:paraId="46A2FB43" w14:textId="77777777" w:rsidR="006C7E21" w:rsidRDefault="001F6705" w:rsidP="006C7E21">
      <w:pPr>
        <w:spacing w:line="240" w:lineRule="auto"/>
        <w:contextualSpacing/>
        <w:jc w:val="both"/>
        <w:rPr>
          <w:rFonts w:cstheme="minorHAnsi"/>
          <w:b/>
          <w:bCs/>
          <w:color w:val="111111"/>
          <w:sz w:val="24"/>
          <w:szCs w:val="24"/>
          <w:shd w:val="clear" w:color="auto" w:fill="FFFFFF"/>
        </w:rPr>
      </w:pPr>
      <w:r w:rsidRPr="001F6705">
        <w:rPr>
          <w:rFonts w:cstheme="minorHAnsi"/>
          <w:b/>
          <w:bCs/>
          <w:color w:val="111111"/>
          <w:sz w:val="24"/>
          <w:szCs w:val="24"/>
          <w:shd w:val="clear" w:color="auto" w:fill="FFFFFF"/>
        </w:rPr>
        <w:t>Abstract</w:t>
      </w:r>
    </w:p>
    <w:p w14:paraId="5CB1CD56" w14:textId="21E9774E" w:rsidR="00127126" w:rsidRDefault="001F6705" w:rsidP="00127126">
      <w:pPr>
        <w:spacing w:line="240" w:lineRule="auto"/>
        <w:contextualSpacing/>
        <w:jc w:val="both"/>
        <w:rPr>
          <w:color w:val="000000" w:themeColor="text1"/>
          <w:sz w:val="24"/>
          <w:szCs w:val="24"/>
        </w:rPr>
      </w:pPr>
      <w:r w:rsidRPr="001F6705">
        <w:rPr>
          <w:rFonts w:cstheme="minorHAnsi"/>
          <w:sz w:val="24"/>
          <w:szCs w:val="24"/>
        </w:rPr>
        <w:t xml:space="preserve">Graphene aerogels are </w:t>
      </w:r>
      <w:r w:rsidR="006C7E21">
        <w:rPr>
          <w:rFonts w:cstheme="minorHAnsi"/>
          <w:sz w:val="24"/>
          <w:szCs w:val="24"/>
        </w:rPr>
        <w:t xml:space="preserve">three-dimensional light-weight </w:t>
      </w:r>
      <w:r w:rsidRPr="001F6705">
        <w:rPr>
          <w:rFonts w:cstheme="minorHAnsi"/>
          <w:sz w:val="24"/>
          <w:szCs w:val="24"/>
        </w:rPr>
        <w:t xml:space="preserve">scaffold materials </w:t>
      </w:r>
      <w:r w:rsidR="006C7E21">
        <w:rPr>
          <w:rFonts w:cstheme="minorHAnsi"/>
          <w:sz w:val="24"/>
          <w:szCs w:val="24"/>
        </w:rPr>
        <w:t xml:space="preserve">which thanks </w:t>
      </w:r>
      <w:r w:rsidRPr="001F6705">
        <w:rPr>
          <w:rFonts w:cstheme="minorHAnsi"/>
          <w:sz w:val="24"/>
          <w:szCs w:val="24"/>
        </w:rPr>
        <w:t>to their</w:t>
      </w:r>
      <w:r>
        <w:rPr>
          <w:rFonts w:cstheme="minorHAnsi"/>
          <w:sz w:val="24"/>
          <w:szCs w:val="24"/>
        </w:rPr>
        <w:t xml:space="preserve"> </w:t>
      </w:r>
      <w:r w:rsidR="00DF54B6">
        <w:rPr>
          <w:rFonts w:cstheme="minorHAnsi"/>
          <w:sz w:val="24"/>
          <w:szCs w:val="24"/>
        </w:rPr>
        <w:t>remarkable</w:t>
      </w:r>
      <w:r w:rsidRPr="001F6705">
        <w:rPr>
          <w:rFonts w:cstheme="minorHAnsi"/>
          <w:sz w:val="24"/>
          <w:szCs w:val="24"/>
        </w:rPr>
        <w:t xml:space="preserve"> properties</w:t>
      </w:r>
      <w:r w:rsidR="00AC7F31">
        <w:rPr>
          <w:rFonts w:cstheme="minorHAnsi"/>
          <w:sz w:val="24"/>
          <w:szCs w:val="24"/>
        </w:rPr>
        <w:t xml:space="preserve"> </w:t>
      </w:r>
      <w:r w:rsidR="00C04F38">
        <w:rPr>
          <w:rFonts w:cstheme="minorHAnsi"/>
          <w:sz w:val="24"/>
          <w:szCs w:val="24"/>
        </w:rPr>
        <w:t>like</w:t>
      </w:r>
      <w:r w:rsidR="00AC7F31">
        <w:rPr>
          <w:rFonts w:cstheme="minorHAnsi"/>
          <w:sz w:val="24"/>
          <w:szCs w:val="24"/>
        </w:rPr>
        <w:t xml:space="preserve"> </w:t>
      </w:r>
      <w:r w:rsidRPr="001F6705">
        <w:rPr>
          <w:rFonts w:cstheme="minorHAnsi"/>
          <w:sz w:val="24"/>
          <w:szCs w:val="24"/>
        </w:rPr>
        <w:t>high mechanical strength and electrical conductivity, thermal</w:t>
      </w:r>
      <w:r>
        <w:rPr>
          <w:rFonts w:cstheme="minorHAnsi"/>
          <w:sz w:val="24"/>
          <w:szCs w:val="24"/>
        </w:rPr>
        <w:t xml:space="preserve"> </w:t>
      </w:r>
      <w:r w:rsidRPr="001F6705">
        <w:rPr>
          <w:rFonts w:cstheme="minorHAnsi"/>
          <w:sz w:val="24"/>
          <w:szCs w:val="24"/>
        </w:rPr>
        <w:t xml:space="preserve">resistance and adsorption capacity, have </w:t>
      </w:r>
      <w:r w:rsidR="00CB1B84">
        <w:rPr>
          <w:rFonts w:cstheme="minorHAnsi"/>
          <w:sz w:val="24"/>
          <w:szCs w:val="24"/>
        </w:rPr>
        <w:t>been immensely enriched</w:t>
      </w:r>
      <w:r w:rsidR="00704F53">
        <w:rPr>
          <w:rFonts w:cstheme="minorHAnsi"/>
          <w:sz w:val="24"/>
          <w:szCs w:val="24"/>
        </w:rPr>
        <w:t xml:space="preserve"> </w:t>
      </w:r>
      <w:r w:rsidR="00704F53">
        <w:rPr>
          <w:rFonts w:cstheme="minorHAnsi"/>
          <w:sz w:val="24"/>
          <w:szCs w:val="24"/>
        </w:rPr>
        <w:fldChar w:fldCharType="begin" w:fldLock="1"/>
      </w:r>
      <w:r w:rsidR="00704F53">
        <w:rPr>
          <w:rFonts w:cstheme="minorHAnsi"/>
          <w:sz w:val="24"/>
          <w:szCs w:val="24"/>
        </w:rPr>
        <w:instrText>ADDIN CSL_CITATION {"citationItems":[{"id":"ITEM-1","itemData":{"DOI":"10.1088/2053-1583/aa7883","ISSN":"20531583","abstract":"Graphene based aerogels (GAs) are 3D scaffold materials that can be lighter than air. Due to their fascinating properties, such as, high mechanical strength and electrical conductivity, thermal resistance and adsorption capacity, they have attracted a lot of interest currently. This review, covers the main routes for obtaining GAs namely, hydrothermal reduction/self-assembly, chemical reduction, template-directed reduction, cross-linking and sol–gel processes. Potential application fields for example in energy storage and environmental protection are also discussed. Finally, the future prospects of this exciting field based on the results published so far are examined.","author":[{"dropping-particle":"","family":"Gorgolis","given":"George","non-dropping-particle":"","parse-names":false,"suffix":""},{"dropping-particle":"","family":"Galiotis","given":"Costas","non-dropping-particle":"","parse-names":false,"suffix":""}],"container-title":"2D Materials","id":"ITEM-1","issue":"3","issued":{"date-parts":[["2017"]]},"page":"aa7883","publisher":"IOP Publishing","title":"Graphene aerogels: A review","type":"article-journal","volume":"4"},"uris":["http://www.mendeley.com/documents/?uuid=85ce5796-f1a4-40ab-bff5-c5d0fdc0096b"]}],"mendeley":{"formattedCitation":"[1]","plainTextFormattedCitation":"[1]","previouslyFormattedCitation":"[1]"},"properties":{"noteIndex":0},"schema":"https://github.com/citation-style-language/schema/raw/master/csl-citation.json"}</w:instrText>
      </w:r>
      <w:r w:rsidR="00704F53">
        <w:rPr>
          <w:rFonts w:cstheme="minorHAnsi"/>
          <w:sz w:val="24"/>
          <w:szCs w:val="24"/>
        </w:rPr>
        <w:fldChar w:fldCharType="separate"/>
      </w:r>
      <w:r w:rsidR="00704F53" w:rsidRPr="00704F53">
        <w:rPr>
          <w:rFonts w:cstheme="minorHAnsi"/>
          <w:noProof/>
          <w:sz w:val="24"/>
          <w:szCs w:val="24"/>
        </w:rPr>
        <w:t>[1]</w:t>
      </w:r>
      <w:r w:rsidR="00704F53">
        <w:rPr>
          <w:rFonts w:cstheme="minorHAnsi"/>
          <w:sz w:val="24"/>
          <w:szCs w:val="24"/>
        </w:rPr>
        <w:fldChar w:fldCharType="end"/>
      </w:r>
      <w:r w:rsidRPr="001F6705">
        <w:rPr>
          <w:rFonts w:cstheme="minorHAnsi"/>
          <w:sz w:val="24"/>
          <w:szCs w:val="24"/>
        </w:rPr>
        <w:t xml:space="preserve">. The main routes for obtaining </w:t>
      </w:r>
      <w:r w:rsidR="00F76EC2">
        <w:rPr>
          <w:rFonts w:cstheme="minorHAnsi"/>
          <w:sz w:val="24"/>
          <w:szCs w:val="24"/>
        </w:rPr>
        <w:t>such materials are the</w:t>
      </w:r>
      <w:r w:rsidRPr="001F6705">
        <w:rPr>
          <w:rFonts w:cstheme="minorHAnsi"/>
          <w:sz w:val="24"/>
          <w:szCs w:val="24"/>
        </w:rPr>
        <w:t xml:space="preserve"> hydrothermal reduction/self-assembly, chemical</w:t>
      </w:r>
      <w:r>
        <w:rPr>
          <w:rFonts w:cstheme="minorHAnsi"/>
          <w:sz w:val="24"/>
          <w:szCs w:val="24"/>
        </w:rPr>
        <w:t xml:space="preserve"> </w:t>
      </w:r>
      <w:r w:rsidRPr="001F6705">
        <w:rPr>
          <w:rFonts w:cstheme="minorHAnsi"/>
          <w:sz w:val="24"/>
          <w:szCs w:val="24"/>
        </w:rPr>
        <w:t>reduction, template-directed reduction, cross-linking and sol–gel processes</w:t>
      </w:r>
      <w:r w:rsidR="00F76EC2">
        <w:rPr>
          <w:rFonts w:cstheme="minorHAnsi"/>
          <w:sz w:val="24"/>
          <w:szCs w:val="24"/>
        </w:rPr>
        <w:t xml:space="preserve"> while the main </w:t>
      </w:r>
      <w:r w:rsidRPr="001F6705">
        <w:rPr>
          <w:rFonts w:cstheme="minorHAnsi"/>
          <w:sz w:val="24"/>
          <w:szCs w:val="24"/>
        </w:rPr>
        <w:t>application</w:t>
      </w:r>
      <w:r>
        <w:rPr>
          <w:rFonts w:cstheme="minorHAnsi"/>
          <w:sz w:val="24"/>
          <w:szCs w:val="24"/>
        </w:rPr>
        <w:t xml:space="preserve"> </w:t>
      </w:r>
      <w:r w:rsidRPr="001F6705">
        <w:rPr>
          <w:rFonts w:cstheme="minorHAnsi"/>
          <w:sz w:val="24"/>
          <w:szCs w:val="24"/>
        </w:rPr>
        <w:t xml:space="preserve">fields </w:t>
      </w:r>
      <w:r w:rsidR="00F76EC2">
        <w:rPr>
          <w:rFonts w:cstheme="minorHAnsi"/>
          <w:sz w:val="24"/>
          <w:szCs w:val="24"/>
        </w:rPr>
        <w:t xml:space="preserve">regard </w:t>
      </w:r>
      <w:r w:rsidR="005820ED">
        <w:rPr>
          <w:rFonts w:cstheme="minorHAnsi"/>
          <w:sz w:val="24"/>
          <w:szCs w:val="24"/>
        </w:rPr>
        <w:t>water desalination</w:t>
      </w:r>
      <w:r w:rsidR="007469D2">
        <w:rPr>
          <w:rFonts w:cstheme="minorHAnsi"/>
          <w:sz w:val="24"/>
          <w:szCs w:val="24"/>
        </w:rPr>
        <w:t xml:space="preserve"> and filtration/purification, </w:t>
      </w:r>
      <w:r w:rsidRPr="001F6705">
        <w:rPr>
          <w:rFonts w:cstheme="minorHAnsi"/>
          <w:sz w:val="24"/>
          <w:szCs w:val="24"/>
        </w:rPr>
        <w:t>energy storage</w:t>
      </w:r>
      <w:r w:rsidR="00704F53">
        <w:rPr>
          <w:rFonts w:cstheme="minorHAnsi"/>
          <w:sz w:val="24"/>
          <w:szCs w:val="24"/>
        </w:rPr>
        <w:t xml:space="preserve"> </w:t>
      </w:r>
      <w:r w:rsidR="00704F53">
        <w:rPr>
          <w:rFonts w:cstheme="minorHAnsi"/>
          <w:sz w:val="24"/>
          <w:szCs w:val="24"/>
        </w:rPr>
        <w:fldChar w:fldCharType="begin" w:fldLock="1"/>
      </w:r>
      <w:r w:rsidR="00974108">
        <w:rPr>
          <w:rFonts w:cstheme="minorHAnsi"/>
          <w:sz w:val="24"/>
          <w:szCs w:val="24"/>
        </w:rPr>
        <w:instrText>ADDIN CSL_CITATION {"citationItems":[{"id":"ITEM-1","itemData":{"DOI":"10.1002/asia.201901802","ISSN":"1861471X","PMID":"32073755","abstract":"Carbon is a simple, stable and popular element with many allotropes. The carbon family members include carbon dots, carbon nanotubes, carbon fibers, graphene, graphite, graphdiyne and hard carbon, etc. They can be divided into different dimensions, and their structures can be open and porous. Moreover, it is very interesting to dope them with other elements (metal or non-metal) or hybridize them with other materials to form composites. The elemental and structural characteristics offer us to explore their applications in energy, environment, bioscience, medicine, electronics and others. Among them, energy storage and conversion are extremely attractive, as advances in this area may improve our life quality and environment. Some energy devices will be included herein, such as lithium-ion batteries, lithium sulfur batteries, sodium-ion batteries, potassium-ion batteries, dual ion batteries, electrochemical capacitors, and others. Additionally, carbon-based electrocatalysts are also studied in hydrogen evolution reaction and carbon dioxide reduction reaction. However, there are still many challenges in the design and preparation of electrode and electrocatalytic materials. The research related to carbon materials for energy storage and conversion is extremely active, and this has motivated us to contribute with a roadmap on ‘Carbon Materials in Energy Storage and Conversion’.","author":[{"dropping-particle":"","family":"Wu","given":"Mingguang","non-dropping-particle":"","parse-names":false,"suffix":""},{"dropping-particle":"","family":"Liao","given":"Jiaqin","non-dropping-particle":"","parse-names":false,"suffix":""},{"dropping-particle":"","family":"Yu","given":"Lingxiao","non-dropping-particle":"","parse-names":false,"suffix":""},{"dropping-particle":"","family":"Lv","given":"Ruitao","non-dropping-particle":"","parse-names":false,"suffix":""},{"dropping-particle":"","family":"Li","given":"Peng","non-dropping-particle":"","parse-names":false,"suffix":""},{"dropping-particle":"","family":"Sun","given":"Wenping","non-dropping-particle":"","parse-names":false,"suffix":""},{"dropping-particle":"","family":"Tan","given":"Rou","non-dropping-particle":"","parse-names":false,"suffix":""},{"dropping-particle":"","family":"Duan","given":"Xiaochuan","non-dropping-particle":"","parse-names":false,"suffix":""},{"dropping-particle":"","family":"Zhang","given":"Lei","non-dropping-particle":"","parse-names":false,"suffix":""},{"dropping-particle":"","family":"Li","given":"Fang","non-dropping-particle":"","parse-names":false,"suffix":""},{"dropping-particle":"","family":"Kim","given":"Jiyoung","non-dropping-particle":"","parse-names":false,"suffix":""},{"dropping-particle":"","family":"Shin","given":"Kang Ho","non-dropping-particle":"","parse-names":false,"suffix":""},{"dropping-particle":"","family":"Seok Park","given":"Ho","non-dropping-particle":"","parse-names":false,"suffix":""},{"dropping-particle":"","family":"Zhang","given":"Wenchao","non-dropping-particle":"","parse-names":false,"suffix":""},{"dropping-particle":"","family":"Guo","given":"Zaiping","non-dropping-particle":"","parse-names":false,"suffix":""},{"dropping-particle":"","family":"Wang","given":"Haitao","non-dropping-particle":"","parse-names":false,"suffix":""},{"dropping-particle":"","family":"Tang","given":"Yongbing","non-dropping-particle":"","parse-names":false,"suffix":""},{"dropping-particle":"","family":"Gorgolis","given":"George","non-dropping-particle":"","parse-names":false,"suffix":""},{"dropping-particle":"","family":"Galiotis","given":"Costas","non-dropping-particle":"","parse-names":false,"suffix":""},{"dropping-particle":"","family":"Ma","given":"Jianmin","non-dropping-particle":"","parse-names":false,"suffix":""}],"container-title":"Chemistry - An Asian Journal","id":"ITEM-1","issue":"7","issued":{"date-parts":[["2020"]]},"page":"995-1013","title":"2020 Roadmap on Carbon Materials for Energy Storage and Conversion","type":"article-journal","volume":"15"},"uris":["http://www.mendeley.com/documents/?uuid=d033dc16-f785-4879-8044-e684565150ef"]}],"mendeley":{"formattedCitation":"[2]","plainTextFormattedCitation":"[2]","previouslyFormattedCitation":"[2]"},"properties":{"noteIndex":0},"schema":"https://github.com/citation-style-language/schema/raw/master/csl-citation.json"}</w:instrText>
      </w:r>
      <w:r w:rsidR="00704F53">
        <w:rPr>
          <w:rFonts w:cstheme="minorHAnsi"/>
          <w:sz w:val="24"/>
          <w:szCs w:val="24"/>
        </w:rPr>
        <w:fldChar w:fldCharType="separate"/>
      </w:r>
      <w:r w:rsidR="00704F53" w:rsidRPr="00704F53">
        <w:rPr>
          <w:rFonts w:cstheme="minorHAnsi"/>
          <w:noProof/>
          <w:sz w:val="24"/>
          <w:szCs w:val="24"/>
        </w:rPr>
        <w:t>[2]</w:t>
      </w:r>
      <w:r w:rsidR="00704F53">
        <w:rPr>
          <w:rFonts w:cstheme="minorHAnsi"/>
          <w:sz w:val="24"/>
          <w:szCs w:val="24"/>
        </w:rPr>
        <w:fldChar w:fldCharType="end"/>
      </w:r>
      <w:r w:rsidRPr="001F6705">
        <w:rPr>
          <w:rFonts w:cstheme="minorHAnsi"/>
          <w:sz w:val="24"/>
          <w:szCs w:val="24"/>
        </w:rPr>
        <w:t xml:space="preserve"> and environmental protection.</w:t>
      </w:r>
      <w:r w:rsidR="0013170E">
        <w:rPr>
          <w:rFonts w:cstheme="minorHAnsi"/>
          <w:sz w:val="24"/>
          <w:szCs w:val="24"/>
        </w:rPr>
        <w:t xml:space="preserve"> But </w:t>
      </w:r>
      <w:r w:rsidR="0013170E" w:rsidRPr="008F76BB">
        <w:rPr>
          <w:rFonts w:cstheme="minorHAnsi"/>
          <w:sz w:val="24"/>
          <w:szCs w:val="24"/>
        </w:rPr>
        <w:t>the main drawback</w:t>
      </w:r>
      <w:r w:rsidR="001029FE" w:rsidRPr="008F76BB">
        <w:rPr>
          <w:rFonts w:cstheme="minorHAnsi"/>
          <w:sz w:val="24"/>
          <w:szCs w:val="24"/>
        </w:rPr>
        <w:t xml:space="preserve"> for these materials which can slow down their widespread application is their high cost. The cost for synthesizing such materials is mainly increased from the carbon source which is graphene oxide</w:t>
      </w:r>
      <w:r w:rsidR="00127126">
        <w:rPr>
          <w:rFonts w:cstheme="minorHAnsi"/>
          <w:sz w:val="24"/>
          <w:szCs w:val="24"/>
        </w:rPr>
        <w:t xml:space="preserve"> (GO)</w:t>
      </w:r>
      <w:r w:rsidR="001029FE" w:rsidRPr="008F76BB">
        <w:rPr>
          <w:rFonts w:cstheme="minorHAnsi"/>
          <w:sz w:val="24"/>
          <w:szCs w:val="24"/>
        </w:rPr>
        <w:t>, for obtaining graphene aerogels.</w:t>
      </w:r>
      <w:r w:rsidR="009D7A7A" w:rsidRPr="008F76BB">
        <w:rPr>
          <w:rFonts w:cstheme="minorHAnsi"/>
          <w:sz w:val="24"/>
          <w:szCs w:val="24"/>
        </w:rPr>
        <w:t xml:space="preserve"> At the same time, there are plenty of carbonaceous sources to be exploited in order to assist in the </w:t>
      </w:r>
      <w:r w:rsidR="00A01C5A">
        <w:rPr>
          <w:rFonts w:cstheme="minorHAnsi"/>
          <w:sz w:val="24"/>
          <w:szCs w:val="24"/>
        </w:rPr>
        <w:t xml:space="preserve">synthesis of </w:t>
      </w:r>
      <w:r w:rsidR="009D7A7A" w:rsidRPr="008F76BB">
        <w:rPr>
          <w:rFonts w:cstheme="minorHAnsi"/>
          <w:sz w:val="24"/>
          <w:szCs w:val="24"/>
        </w:rPr>
        <w:t>graphene-related (GRMs) materials.</w:t>
      </w:r>
      <w:r w:rsidR="008F76BB" w:rsidRPr="008F76BB">
        <w:rPr>
          <w:rFonts w:cstheme="minorHAnsi"/>
          <w:sz w:val="24"/>
          <w:szCs w:val="24"/>
        </w:rPr>
        <w:t xml:space="preserve"> </w:t>
      </w:r>
      <w:r w:rsidR="00DD7E60">
        <w:rPr>
          <w:rFonts w:cstheme="minorHAnsi"/>
          <w:sz w:val="24"/>
          <w:szCs w:val="24"/>
        </w:rPr>
        <w:t xml:space="preserve">In that direction, </w:t>
      </w:r>
      <w:r w:rsidR="008F76BB" w:rsidRPr="008F76BB">
        <w:rPr>
          <w:color w:val="000000" w:themeColor="text1"/>
          <w:sz w:val="24"/>
          <w:szCs w:val="24"/>
        </w:rPr>
        <w:t xml:space="preserve">NANOGRAPHENE, a spin off company of </w:t>
      </w:r>
      <w:proofErr w:type="spellStart"/>
      <w:r w:rsidR="008F76BB" w:rsidRPr="008F76BB">
        <w:rPr>
          <w:color w:val="000000" w:themeColor="text1"/>
          <w:sz w:val="24"/>
          <w:szCs w:val="24"/>
        </w:rPr>
        <w:t>Sabanci</w:t>
      </w:r>
      <w:proofErr w:type="spellEnd"/>
      <w:r w:rsidR="008F76BB" w:rsidRPr="008F76BB">
        <w:rPr>
          <w:color w:val="000000" w:themeColor="text1"/>
          <w:sz w:val="24"/>
          <w:szCs w:val="24"/>
        </w:rPr>
        <w:t xml:space="preserve"> University (SU), with production capacity of 500kg/month, starting from waste carbon black coming from the pyrolysis of waste-tires</w:t>
      </w:r>
      <w:r w:rsidR="008F76BB">
        <w:rPr>
          <w:color w:val="000000" w:themeColor="text1"/>
          <w:sz w:val="24"/>
          <w:szCs w:val="24"/>
        </w:rPr>
        <w:t>, are able to supply with Graphene-</w:t>
      </w:r>
      <w:proofErr w:type="spellStart"/>
      <w:r w:rsidR="008F76BB">
        <w:rPr>
          <w:color w:val="000000" w:themeColor="text1"/>
          <w:sz w:val="24"/>
          <w:szCs w:val="24"/>
        </w:rPr>
        <w:t>NanoPlatelets</w:t>
      </w:r>
      <w:proofErr w:type="spellEnd"/>
      <w:r w:rsidR="008F76BB">
        <w:rPr>
          <w:color w:val="000000" w:themeColor="text1"/>
          <w:sz w:val="24"/>
          <w:szCs w:val="24"/>
        </w:rPr>
        <w:t xml:space="preserve"> (GNPs) powder.</w:t>
      </w:r>
    </w:p>
    <w:p w14:paraId="7846D4CB" w14:textId="2D363A4F" w:rsidR="004C29A4" w:rsidRDefault="00763779" w:rsidP="00BD193A">
      <w:pPr>
        <w:autoSpaceDE w:val="0"/>
        <w:autoSpaceDN w:val="0"/>
        <w:adjustRightInd w:val="0"/>
        <w:spacing w:after="0" w:line="240" w:lineRule="auto"/>
        <w:jc w:val="both"/>
        <w:rPr>
          <w:rFonts w:cstheme="minorHAnsi"/>
          <w:sz w:val="24"/>
          <w:szCs w:val="24"/>
        </w:rPr>
      </w:pPr>
      <w:r>
        <w:rPr>
          <w:color w:val="000000" w:themeColor="text1"/>
          <w:sz w:val="24"/>
          <w:szCs w:val="24"/>
        </w:rPr>
        <w:t xml:space="preserve">          </w:t>
      </w:r>
      <w:r w:rsidR="00127126" w:rsidRPr="00BD193A">
        <w:rPr>
          <w:rFonts w:cstheme="minorHAnsi"/>
          <w:color w:val="000000" w:themeColor="text1"/>
          <w:sz w:val="24"/>
          <w:szCs w:val="24"/>
        </w:rPr>
        <w:t>In this study, the successful synthesis of graphene aerogels using as carbon source the GO</w:t>
      </w:r>
      <w:r w:rsidR="00E43CF9" w:rsidRPr="00BD193A">
        <w:rPr>
          <w:rFonts w:cstheme="minorHAnsi"/>
          <w:color w:val="000000" w:themeColor="text1"/>
          <w:sz w:val="24"/>
          <w:szCs w:val="24"/>
        </w:rPr>
        <w:t xml:space="preserve"> which has been </w:t>
      </w:r>
      <w:r w:rsidR="00405E7D" w:rsidRPr="00BD193A">
        <w:rPr>
          <w:rFonts w:cstheme="minorHAnsi"/>
          <w:color w:val="000000" w:themeColor="text1"/>
          <w:sz w:val="24"/>
          <w:szCs w:val="24"/>
        </w:rPr>
        <w:t>obtain</w:t>
      </w:r>
      <w:r w:rsidR="00E43CF9" w:rsidRPr="00BD193A">
        <w:rPr>
          <w:rFonts w:cstheme="minorHAnsi"/>
          <w:color w:val="000000" w:themeColor="text1"/>
          <w:sz w:val="24"/>
          <w:szCs w:val="24"/>
        </w:rPr>
        <w:t xml:space="preserve">ed from the oxidation of the previously-mentioned GNPs powder, is reported. </w:t>
      </w:r>
      <w:r w:rsidR="004C29A4" w:rsidRPr="00BD193A">
        <w:rPr>
          <w:rFonts w:cstheme="minorHAnsi"/>
          <w:sz w:val="24"/>
          <w:szCs w:val="24"/>
        </w:rPr>
        <w:t xml:space="preserve">Aqueous solution of graphene oxide (GO) was diluted in water to obtain a concentration of </w:t>
      </w:r>
      <w:r w:rsidR="005D23A4">
        <w:rPr>
          <w:rFonts w:cstheme="minorHAnsi"/>
          <w:sz w:val="24"/>
          <w:szCs w:val="24"/>
        </w:rPr>
        <w:t>2</w:t>
      </w:r>
      <w:r w:rsidR="004C29A4" w:rsidRPr="00BD193A">
        <w:rPr>
          <w:rFonts w:cstheme="minorHAnsi"/>
          <w:sz w:val="24"/>
          <w:szCs w:val="24"/>
        </w:rPr>
        <w:t xml:space="preserve"> mg/</w:t>
      </w:r>
      <w:proofErr w:type="spellStart"/>
      <w:r w:rsidR="004C29A4" w:rsidRPr="00BD193A">
        <w:rPr>
          <w:rFonts w:cstheme="minorHAnsi"/>
          <w:sz w:val="24"/>
          <w:szCs w:val="24"/>
        </w:rPr>
        <w:t>mL.</w:t>
      </w:r>
      <w:proofErr w:type="spellEnd"/>
      <w:r w:rsidR="004C29A4" w:rsidRPr="00BD193A">
        <w:rPr>
          <w:rFonts w:cstheme="minorHAnsi"/>
          <w:sz w:val="24"/>
          <w:szCs w:val="24"/>
        </w:rPr>
        <w:t xml:space="preserve"> </w:t>
      </w:r>
      <w:proofErr w:type="spellStart"/>
      <w:r w:rsidR="004C29A4" w:rsidRPr="00BD193A">
        <w:rPr>
          <w:rFonts w:cstheme="minorHAnsi"/>
          <w:sz w:val="24"/>
          <w:szCs w:val="24"/>
        </w:rPr>
        <w:t>Hypophosphorous</w:t>
      </w:r>
      <w:proofErr w:type="spellEnd"/>
      <w:r w:rsidR="004C29A4" w:rsidRPr="00BD193A">
        <w:rPr>
          <w:rFonts w:cstheme="minorHAnsi"/>
          <w:sz w:val="24"/>
          <w:szCs w:val="24"/>
        </w:rPr>
        <w:t xml:space="preserve"> acid and iodine were then added as the chemically reducing agents. Subsequently the solution placed in a furnace and was heated to 80°C for 8 hours, resulting in a uniform gelation of the GO. The sample was then rinsed with water until a pH of equal to 7, followed by freeze-drying for 48 h.</w:t>
      </w:r>
      <w:r w:rsidR="006F0CC1" w:rsidRPr="00BD193A">
        <w:rPr>
          <w:rFonts w:cstheme="minorHAnsi"/>
          <w:sz w:val="24"/>
          <w:szCs w:val="24"/>
        </w:rPr>
        <w:t xml:space="preserve"> In the frames of the </w:t>
      </w:r>
      <w:r w:rsidR="0042098E">
        <w:rPr>
          <w:rFonts w:cstheme="minorHAnsi"/>
          <w:sz w:val="24"/>
          <w:szCs w:val="24"/>
        </w:rPr>
        <w:t xml:space="preserve">SOLAR-ERA.NET </w:t>
      </w:r>
      <w:r w:rsidR="0042098E" w:rsidRPr="0042098E">
        <w:rPr>
          <w:rFonts w:cstheme="minorHAnsi"/>
          <w:b/>
          <w:bCs/>
          <w:sz w:val="24"/>
          <w:szCs w:val="24"/>
        </w:rPr>
        <w:t>‘</w:t>
      </w:r>
      <w:r w:rsidR="006F0CC1" w:rsidRPr="0042098E">
        <w:rPr>
          <w:rFonts w:cstheme="minorHAnsi"/>
          <w:b/>
          <w:bCs/>
          <w:sz w:val="24"/>
          <w:szCs w:val="24"/>
        </w:rPr>
        <w:t>GO-FOR-WATER</w:t>
      </w:r>
      <w:r w:rsidR="0042098E" w:rsidRPr="0042098E">
        <w:rPr>
          <w:rFonts w:cstheme="minorHAnsi"/>
          <w:b/>
          <w:bCs/>
          <w:sz w:val="24"/>
          <w:szCs w:val="24"/>
        </w:rPr>
        <w:t>’</w:t>
      </w:r>
      <w:r w:rsidR="006F0CC1" w:rsidRPr="00BD193A">
        <w:rPr>
          <w:rFonts w:cstheme="minorHAnsi"/>
          <w:sz w:val="24"/>
          <w:szCs w:val="24"/>
        </w:rPr>
        <w:t xml:space="preserve"> project, </w:t>
      </w:r>
      <w:r w:rsidR="00BD193A" w:rsidRPr="00BD193A">
        <w:rPr>
          <w:rFonts w:cstheme="minorHAnsi"/>
          <w:sz w:val="24"/>
          <w:szCs w:val="24"/>
        </w:rPr>
        <w:t xml:space="preserve">Scanning Electron Microscopy, Raman microscopy and X-ray diffraction </w:t>
      </w:r>
      <w:r w:rsidR="00BD193A">
        <w:rPr>
          <w:rFonts w:cstheme="minorHAnsi"/>
          <w:sz w:val="24"/>
          <w:szCs w:val="24"/>
        </w:rPr>
        <w:t>are</w:t>
      </w:r>
      <w:r w:rsidR="00BD193A" w:rsidRPr="00BD193A">
        <w:rPr>
          <w:rFonts w:cstheme="minorHAnsi"/>
          <w:sz w:val="24"/>
          <w:szCs w:val="24"/>
        </w:rPr>
        <w:t xml:space="preserve"> used to characterize the produced</w:t>
      </w:r>
      <w:r w:rsidR="00BD193A">
        <w:rPr>
          <w:rFonts w:cstheme="minorHAnsi"/>
          <w:sz w:val="24"/>
          <w:szCs w:val="24"/>
        </w:rPr>
        <w:t xml:space="preserve"> </w:t>
      </w:r>
      <w:r w:rsidR="00BD193A" w:rsidRPr="00BD193A">
        <w:rPr>
          <w:rFonts w:cstheme="minorHAnsi"/>
          <w:sz w:val="24"/>
          <w:szCs w:val="24"/>
        </w:rPr>
        <w:t>graphene aerogels</w:t>
      </w:r>
      <w:r w:rsidR="00BD193A">
        <w:rPr>
          <w:rFonts w:cstheme="minorHAnsi"/>
          <w:sz w:val="24"/>
          <w:szCs w:val="24"/>
        </w:rPr>
        <w:t xml:space="preserve"> in University of Patras and</w:t>
      </w:r>
      <w:r w:rsidR="00BD193A" w:rsidRPr="00BD193A">
        <w:rPr>
          <w:rFonts w:cstheme="minorHAnsi"/>
          <w:sz w:val="24"/>
          <w:szCs w:val="24"/>
        </w:rPr>
        <w:t xml:space="preserve"> FORTH</w:t>
      </w:r>
      <w:r w:rsidR="00FB3E70">
        <w:rPr>
          <w:rFonts w:cstheme="minorHAnsi"/>
          <w:sz w:val="24"/>
          <w:szCs w:val="24"/>
        </w:rPr>
        <w:t>, while the</w:t>
      </w:r>
      <w:r w:rsidR="00BD193A" w:rsidRPr="00BD193A">
        <w:rPr>
          <w:rFonts w:cstheme="minorHAnsi"/>
          <w:sz w:val="24"/>
          <w:szCs w:val="24"/>
        </w:rPr>
        <w:t xml:space="preserve"> </w:t>
      </w:r>
      <w:r w:rsidR="00FB3E70">
        <w:rPr>
          <w:rFonts w:cstheme="minorHAnsi"/>
          <w:sz w:val="24"/>
          <w:szCs w:val="24"/>
        </w:rPr>
        <w:t>m</w:t>
      </w:r>
      <w:r w:rsidR="00BD193A" w:rsidRPr="00BD193A">
        <w:rPr>
          <w:rFonts w:cstheme="minorHAnsi"/>
          <w:sz w:val="24"/>
          <w:szCs w:val="24"/>
        </w:rPr>
        <w:t xml:space="preserve">echanical </w:t>
      </w:r>
      <w:proofErr w:type="spellStart"/>
      <w:r w:rsidR="00BD193A" w:rsidRPr="00BD193A">
        <w:rPr>
          <w:rFonts w:cstheme="minorHAnsi"/>
          <w:sz w:val="24"/>
          <w:szCs w:val="24"/>
        </w:rPr>
        <w:t>behaviour</w:t>
      </w:r>
      <w:proofErr w:type="spellEnd"/>
      <w:r w:rsidR="00BD193A" w:rsidRPr="00BD193A">
        <w:rPr>
          <w:rFonts w:cstheme="minorHAnsi"/>
          <w:sz w:val="24"/>
          <w:szCs w:val="24"/>
        </w:rPr>
        <w:t xml:space="preserve"> (</w:t>
      </w:r>
      <w:proofErr w:type="gramStart"/>
      <w:r w:rsidR="00BD193A" w:rsidRPr="00BD193A">
        <w:rPr>
          <w:rFonts w:cstheme="minorHAnsi"/>
          <w:sz w:val="24"/>
          <w:szCs w:val="24"/>
        </w:rPr>
        <w:t>i.e.</w:t>
      </w:r>
      <w:proofErr w:type="gramEnd"/>
      <w:r w:rsidR="00BD193A" w:rsidRPr="00BD193A">
        <w:rPr>
          <w:rFonts w:cstheme="minorHAnsi"/>
          <w:sz w:val="24"/>
          <w:szCs w:val="24"/>
        </w:rPr>
        <w:t xml:space="preserve"> static and dynamic</w:t>
      </w:r>
      <w:r w:rsidR="00BD193A">
        <w:rPr>
          <w:rFonts w:cstheme="minorHAnsi"/>
          <w:sz w:val="24"/>
          <w:szCs w:val="24"/>
        </w:rPr>
        <w:t xml:space="preserve"> </w:t>
      </w:r>
      <w:r w:rsidR="00BD193A" w:rsidRPr="00BD193A">
        <w:rPr>
          <w:rFonts w:cstheme="minorHAnsi"/>
          <w:sz w:val="24"/>
          <w:szCs w:val="24"/>
        </w:rPr>
        <w:t xml:space="preserve">compression) </w:t>
      </w:r>
      <w:r w:rsidR="00FB3E70">
        <w:rPr>
          <w:rFonts w:cstheme="minorHAnsi"/>
          <w:sz w:val="24"/>
          <w:szCs w:val="24"/>
        </w:rPr>
        <w:t>are also</w:t>
      </w:r>
      <w:r w:rsidR="00BD193A" w:rsidRPr="00BD193A">
        <w:rPr>
          <w:rFonts w:cstheme="minorHAnsi"/>
          <w:sz w:val="24"/>
          <w:szCs w:val="24"/>
        </w:rPr>
        <w:t xml:space="preserve"> investigated by using micro-testing facilities already available at </w:t>
      </w:r>
      <w:r w:rsidR="00FB3E70">
        <w:rPr>
          <w:rFonts w:cstheme="minorHAnsi"/>
          <w:sz w:val="24"/>
          <w:szCs w:val="24"/>
        </w:rPr>
        <w:t>both institutions</w:t>
      </w:r>
      <w:r w:rsidR="00792AB7">
        <w:rPr>
          <w:rFonts w:cstheme="minorHAnsi"/>
          <w:sz w:val="24"/>
          <w:szCs w:val="24"/>
        </w:rPr>
        <w:t xml:space="preserve"> </w:t>
      </w:r>
      <w:r w:rsidR="00792AB7">
        <w:rPr>
          <w:rFonts w:cstheme="minorHAnsi"/>
          <w:sz w:val="24"/>
          <w:szCs w:val="24"/>
        </w:rPr>
        <w:fldChar w:fldCharType="begin" w:fldLock="1"/>
      </w:r>
      <w:r w:rsidR="00974108">
        <w:rPr>
          <w:rFonts w:cstheme="minorHAnsi"/>
          <w:sz w:val="24"/>
          <w:szCs w:val="24"/>
        </w:rPr>
        <w:instrText>ADDIN CSL_CITATION {"citationItems":[{"id":"ITEM-1","itemData":{"DOI":"10.1038/s41598-021-92957-8","ISBN":"4159802192","ISSN":"20452322","PMID":"34193924","abstract":"Aerogels have attracted significant attention recently due to their ultra-light weight porous structure, mechanical robustness, high electrical conductivity, facile scalability and their use as gas and oil absorbers. Herein, we examine the multi-functional properties of hybrid aerogels consisting of reduced graphene oxide (rGO) integrated with hexagonal boron nitride (hBN) platelets. Using a freeze-drying approach, hybrid aerogels are fabricated by simple mixing with various volume fractions of hBN and rGO up to 0.5/0.5 ratio. The fabrication method is simple, cost effective, scalable and can be extended to other 2D materials combinations. The hybrid rGO/hBN aerogels (HAs) are mechanically robust and highly compressible with mechanical properties similar to those of the pure rGO aerogel. We show that the presence of hBN in the HAs enhances the gas absorption capacities of formaldehyde and water vapour up to ~ 7 and &gt; 8 times, respectively, as compared to pure rGO aerogel. Moreover, the samples show good recoverability, making them highly efficient materials for gas absorption applications and for the protection of artefacts such as paintings in storage facilities. Finally, even in the presence of large quantity of insulating hBN, the HAs are electrically conductive, extending the potential application spectrum of the proposed hybrids to the field of electro-thermal actuators. The work proposed here paves the way for the design and production of novel 2D materials combinations with tailored multi-functionalities suited for a large variety of modern applications.","author":[{"dropping-particle":"","family":"Androulidakis","given":"Charalampos","non-dropping-particle":"","parse-names":false,"suffix":""},{"dropping-particle":"","family":"Kotsidi","given":"Maria","non-dropping-particle":"","parse-names":false,"suffix":""},{"dropping-particle":"","family":"Gorgolis","given":"George","non-dropping-particle":"","parse-names":false,"suffix":""},{"dropping-particle":"","family":"Pavlou","given":"Christos","non-dropping-particle":"","parse-names":false,"suffix":""},{"dropping-particle":"","family":"Sygellou","given":"Labrini","non-dropping-particle":"","parse-names":false,"suffix":""},{"dropping-particle":"","family":"Paterakis","given":"George","non-dropping-particle":"","parse-names":false,"suffix":""},{"dropping-particle":"","family":"Koutroumanis","given":"Nick","non-dropping-particle":"","parse-names":false,"suffix":""},{"dropping-particle":"","family":"Galiotis","given":"Costas","non-dropping-particle":"","parse-names":false,"suffix":""}],"container-title":"Scientific reports","id":"ITEM-1","issue":"1","issued":{"date-parts":[["2021"]]},"page":"13548","publisher":"Nature Publishing Group UK","title":"Multi-functional 2D hybrid aerogels for gas absorption applications","type":"article-journal","volume":"11"},"uris":["http://www.mendeley.com/documents/?uuid=1dc0c981-71fd-4886-a1f8-2d3e2f6d4097"]}],"mendeley":{"formattedCitation":"[3]","plainTextFormattedCitation":"[3]","previouslyFormattedCitation":"[3]"},"properties":{"noteIndex":0},"schema":"https://github.com/citation-style-language/schema/raw/master/csl-citation.json"}</w:instrText>
      </w:r>
      <w:r w:rsidR="00792AB7">
        <w:rPr>
          <w:rFonts w:cstheme="minorHAnsi"/>
          <w:sz w:val="24"/>
          <w:szCs w:val="24"/>
        </w:rPr>
        <w:fldChar w:fldCharType="separate"/>
      </w:r>
      <w:r w:rsidR="00704F53" w:rsidRPr="00704F53">
        <w:rPr>
          <w:rFonts w:cstheme="minorHAnsi"/>
          <w:noProof/>
          <w:sz w:val="24"/>
          <w:szCs w:val="24"/>
        </w:rPr>
        <w:t>[3]</w:t>
      </w:r>
      <w:r w:rsidR="00792AB7">
        <w:rPr>
          <w:rFonts w:cstheme="minorHAnsi"/>
          <w:sz w:val="24"/>
          <w:szCs w:val="24"/>
        </w:rPr>
        <w:fldChar w:fldCharType="end"/>
      </w:r>
      <w:r w:rsidR="00BD193A" w:rsidRPr="00BD193A">
        <w:rPr>
          <w:rFonts w:cstheme="minorHAnsi"/>
          <w:sz w:val="24"/>
          <w:szCs w:val="24"/>
        </w:rPr>
        <w:t>.</w:t>
      </w:r>
    </w:p>
    <w:p w14:paraId="10E99720" w14:textId="6C576437" w:rsidR="009A78EA" w:rsidRDefault="009A78EA" w:rsidP="00BD193A">
      <w:pPr>
        <w:autoSpaceDE w:val="0"/>
        <w:autoSpaceDN w:val="0"/>
        <w:adjustRightInd w:val="0"/>
        <w:spacing w:after="0" w:line="240" w:lineRule="auto"/>
        <w:jc w:val="both"/>
        <w:rPr>
          <w:rFonts w:cstheme="minorHAnsi"/>
          <w:sz w:val="24"/>
          <w:szCs w:val="24"/>
        </w:rPr>
      </w:pPr>
    </w:p>
    <w:p w14:paraId="6FAC77A8" w14:textId="4677549A" w:rsidR="009A78EA" w:rsidRDefault="009A78EA" w:rsidP="00BD193A">
      <w:pPr>
        <w:autoSpaceDE w:val="0"/>
        <w:autoSpaceDN w:val="0"/>
        <w:adjustRightInd w:val="0"/>
        <w:spacing w:after="0" w:line="240" w:lineRule="auto"/>
        <w:jc w:val="both"/>
        <w:rPr>
          <w:rFonts w:cstheme="minorHAnsi"/>
          <w:sz w:val="24"/>
          <w:szCs w:val="24"/>
        </w:rPr>
      </w:pPr>
    </w:p>
    <w:p w14:paraId="6AF5796D" w14:textId="66403080" w:rsidR="009A78EA" w:rsidRDefault="009A78EA" w:rsidP="00BD193A">
      <w:pPr>
        <w:autoSpaceDE w:val="0"/>
        <w:autoSpaceDN w:val="0"/>
        <w:adjustRightInd w:val="0"/>
        <w:spacing w:after="0" w:line="240" w:lineRule="auto"/>
        <w:jc w:val="both"/>
        <w:rPr>
          <w:rFonts w:cstheme="minorHAnsi"/>
          <w:sz w:val="24"/>
          <w:szCs w:val="24"/>
        </w:rPr>
      </w:pPr>
    </w:p>
    <w:p w14:paraId="4791798A" w14:textId="43260BA8" w:rsidR="009A78EA" w:rsidRDefault="009A78EA" w:rsidP="009A78EA">
      <w:pPr>
        <w:autoSpaceDE w:val="0"/>
        <w:autoSpaceDN w:val="0"/>
        <w:adjustRightInd w:val="0"/>
        <w:spacing w:after="0" w:line="240" w:lineRule="auto"/>
        <w:jc w:val="center"/>
        <w:rPr>
          <w:rFonts w:cstheme="minorHAnsi"/>
          <w:sz w:val="24"/>
          <w:szCs w:val="24"/>
        </w:rPr>
      </w:pPr>
      <w:r>
        <w:rPr>
          <w:noProof/>
        </w:rPr>
        <w:lastRenderedPageBreak/>
        <w:drawing>
          <wp:inline distT="0" distB="0" distL="0" distR="0" wp14:anchorId="5BEE700D" wp14:editId="6DB490DB">
            <wp:extent cx="3169848" cy="44163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37" t="1212"/>
                    <a:stretch/>
                  </pic:blipFill>
                  <pic:spPr bwMode="auto">
                    <a:xfrm>
                      <a:off x="0" y="0"/>
                      <a:ext cx="3178578" cy="4428531"/>
                    </a:xfrm>
                    <a:prstGeom prst="rect">
                      <a:avLst/>
                    </a:prstGeom>
                    <a:noFill/>
                    <a:ln>
                      <a:noFill/>
                    </a:ln>
                    <a:extLst>
                      <a:ext uri="{53640926-AAD7-44D8-BBD7-CCE9431645EC}">
                        <a14:shadowObscured xmlns:a14="http://schemas.microsoft.com/office/drawing/2010/main"/>
                      </a:ext>
                    </a:extLst>
                  </pic:spPr>
                </pic:pic>
              </a:graphicData>
            </a:graphic>
          </wp:inline>
        </w:drawing>
      </w:r>
    </w:p>
    <w:p w14:paraId="259A0DAA" w14:textId="04380FAF" w:rsidR="009A78EA" w:rsidRDefault="009A78EA" w:rsidP="00030081">
      <w:pPr>
        <w:autoSpaceDE w:val="0"/>
        <w:autoSpaceDN w:val="0"/>
        <w:adjustRightInd w:val="0"/>
        <w:spacing w:after="0" w:line="240" w:lineRule="auto"/>
        <w:jc w:val="both"/>
        <w:rPr>
          <w:rFonts w:cstheme="minorHAnsi"/>
          <w:sz w:val="24"/>
          <w:szCs w:val="24"/>
        </w:rPr>
      </w:pPr>
      <w:r w:rsidRPr="00030081">
        <w:rPr>
          <w:rFonts w:cstheme="minorHAnsi"/>
          <w:b/>
          <w:bCs/>
          <w:sz w:val="24"/>
          <w:szCs w:val="24"/>
        </w:rPr>
        <w:t>Figure</w:t>
      </w:r>
      <w:r>
        <w:rPr>
          <w:rFonts w:cstheme="minorHAnsi"/>
          <w:sz w:val="24"/>
          <w:szCs w:val="24"/>
        </w:rPr>
        <w:t xml:space="preserve">: </w:t>
      </w:r>
      <w:r w:rsidR="00C834BF">
        <w:rPr>
          <w:rFonts w:cstheme="minorHAnsi"/>
          <w:sz w:val="24"/>
          <w:szCs w:val="24"/>
        </w:rPr>
        <w:t xml:space="preserve">a), b) the used GNPs </w:t>
      </w:r>
      <w:proofErr w:type="spellStart"/>
      <w:r w:rsidR="00C834BF">
        <w:rPr>
          <w:rFonts w:cstheme="minorHAnsi"/>
          <w:sz w:val="24"/>
          <w:szCs w:val="24"/>
        </w:rPr>
        <w:t>nanopowder</w:t>
      </w:r>
      <w:proofErr w:type="spellEnd"/>
      <w:r w:rsidR="00C834BF">
        <w:rPr>
          <w:rFonts w:cstheme="minorHAnsi"/>
          <w:sz w:val="24"/>
          <w:szCs w:val="24"/>
        </w:rPr>
        <w:t>, c) the as-obtained GO solution in water after the oxidation of the starting powder, d) the graphene hydrogel after the self-assembly of the reduced graphene oxide sheets, and, d) the corresponding graphene aerogel after the freeze-drying and sublimation</w:t>
      </w:r>
      <w:r w:rsidR="00030081">
        <w:rPr>
          <w:rFonts w:cstheme="minorHAnsi"/>
          <w:sz w:val="24"/>
          <w:szCs w:val="24"/>
        </w:rPr>
        <w:t xml:space="preserve"> of water.</w:t>
      </w:r>
    </w:p>
    <w:p w14:paraId="75BE5ED9" w14:textId="2349A677" w:rsidR="00974108" w:rsidRDefault="00974108" w:rsidP="00030081">
      <w:pPr>
        <w:autoSpaceDE w:val="0"/>
        <w:autoSpaceDN w:val="0"/>
        <w:adjustRightInd w:val="0"/>
        <w:spacing w:after="0" w:line="240" w:lineRule="auto"/>
        <w:jc w:val="both"/>
        <w:rPr>
          <w:rFonts w:cstheme="minorHAnsi"/>
          <w:sz w:val="24"/>
          <w:szCs w:val="24"/>
        </w:rPr>
      </w:pPr>
    </w:p>
    <w:p w14:paraId="5B83F1FB" w14:textId="6FE70059" w:rsidR="00974108" w:rsidRDefault="00974108" w:rsidP="00030081">
      <w:pPr>
        <w:autoSpaceDE w:val="0"/>
        <w:autoSpaceDN w:val="0"/>
        <w:adjustRightInd w:val="0"/>
        <w:spacing w:after="0" w:line="240" w:lineRule="auto"/>
        <w:jc w:val="both"/>
        <w:rPr>
          <w:rFonts w:cstheme="minorHAnsi"/>
          <w:sz w:val="24"/>
          <w:szCs w:val="24"/>
        </w:rPr>
      </w:pPr>
    </w:p>
    <w:p w14:paraId="0C055231" w14:textId="759BC96B" w:rsidR="00974108" w:rsidRPr="00B52D61" w:rsidRDefault="00974108" w:rsidP="00030081">
      <w:pPr>
        <w:autoSpaceDE w:val="0"/>
        <w:autoSpaceDN w:val="0"/>
        <w:adjustRightInd w:val="0"/>
        <w:spacing w:after="0" w:line="240" w:lineRule="auto"/>
        <w:jc w:val="both"/>
        <w:rPr>
          <w:rFonts w:cstheme="minorHAnsi"/>
          <w:b/>
          <w:bCs/>
          <w:sz w:val="24"/>
          <w:szCs w:val="24"/>
          <w:u w:val="single"/>
        </w:rPr>
      </w:pPr>
      <w:r w:rsidRPr="00B52D61">
        <w:rPr>
          <w:rFonts w:cstheme="minorHAnsi"/>
          <w:b/>
          <w:bCs/>
          <w:sz w:val="24"/>
          <w:szCs w:val="24"/>
          <w:u w:val="single"/>
        </w:rPr>
        <w:t>REFERENCES</w:t>
      </w:r>
    </w:p>
    <w:p w14:paraId="1BD435F9" w14:textId="6887DC43" w:rsidR="00974108" w:rsidRPr="00974108" w:rsidRDefault="00974108" w:rsidP="00974108">
      <w:pPr>
        <w:widowControl w:val="0"/>
        <w:autoSpaceDE w:val="0"/>
        <w:autoSpaceDN w:val="0"/>
        <w:adjustRightInd w:val="0"/>
        <w:spacing w:after="0" w:line="240" w:lineRule="auto"/>
        <w:ind w:left="640" w:hanging="640"/>
        <w:rPr>
          <w:rFonts w:ascii="Calibri" w:hAnsi="Calibri" w:cs="Calibri"/>
          <w:noProof/>
          <w:sz w:val="24"/>
          <w:szCs w:val="24"/>
        </w:rPr>
      </w:pPr>
      <w:r>
        <w:rPr>
          <w:rFonts w:cstheme="minorHAnsi"/>
          <w:sz w:val="24"/>
          <w:szCs w:val="24"/>
        </w:rPr>
        <w:fldChar w:fldCharType="begin" w:fldLock="1"/>
      </w:r>
      <w:r>
        <w:rPr>
          <w:rFonts w:cstheme="minorHAnsi"/>
          <w:sz w:val="24"/>
          <w:szCs w:val="24"/>
        </w:rPr>
        <w:instrText xml:space="preserve">ADDIN Mendeley Bibliography CSL_BIBLIOGRAPHY </w:instrText>
      </w:r>
      <w:r>
        <w:rPr>
          <w:rFonts w:cstheme="minorHAnsi"/>
          <w:sz w:val="24"/>
          <w:szCs w:val="24"/>
        </w:rPr>
        <w:fldChar w:fldCharType="separate"/>
      </w:r>
      <w:r w:rsidRPr="00974108">
        <w:rPr>
          <w:rFonts w:ascii="Calibri" w:hAnsi="Calibri" w:cs="Calibri"/>
          <w:noProof/>
          <w:sz w:val="24"/>
          <w:szCs w:val="24"/>
        </w:rPr>
        <w:t>[1]</w:t>
      </w:r>
      <w:r w:rsidRPr="00974108">
        <w:rPr>
          <w:rFonts w:ascii="Calibri" w:hAnsi="Calibri" w:cs="Calibri"/>
          <w:noProof/>
          <w:sz w:val="24"/>
          <w:szCs w:val="24"/>
        </w:rPr>
        <w:tab/>
        <w:t xml:space="preserve">G. Gorgolis and C. Galiotis, “Graphene aerogels: A review,” </w:t>
      </w:r>
      <w:r w:rsidRPr="00974108">
        <w:rPr>
          <w:rFonts w:ascii="Calibri" w:hAnsi="Calibri" w:cs="Calibri"/>
          <w:i/>
          <w:iCs/>
          <w:noProof/>
          <w:sz w:val="24"/>
          <w:szCs w:val="24"/>
        </w:rPr>
        <w:t>2D Mater.</w:t>
      </w:r>
      <w:r w:rsidRPr="00974108">
        <w:rPr>
          <w:rFonts w:ascii="Calibri" w:hAnsi="Calibri" w:cs="Calibri"/>
          <w:noProof/>
          <w:sz w:val="24"/>
          <w:szCs w:val="24"/>
        </w:rPr>
        <w:t>, vol. 4, no. 3, p. aa7883, 2017, doi: 10.1088/2053-1583/aa7883.</w:t>
      </w:r>
    </w:p>
    <w:p w14:paraId="37275678" w14:textId="77777777" w:rsidR="00974108" w:rsidRPr="00974108" w:rsidRDefault="00974108" w:rsidP="00974108">
      <w:pPr>
        <w:widowControl w:val="0"/>
        <w:autoSpaceDE w:val="0"/>
        <w:autoSpaceDN w:val="0"/>
        <w:adjustRightInd w:val="0"/>
        <w:spacing w:after="0" w:line="240" w:lineRule="auto"/>
        <w:ind w:left="640" w:hanging="640"/>
        <w:rPr>
          <w:rFonts w:ascii="Calibri" w:hAnsi="Calibri" w:cs="Calibri"/>
          <w:noProof/>
          <w:sz w:val="24"/>
          <w:szCs w:val="24"/>
        </w:rPr>
      </w:pPr>
      <w:r w:rsidRPr="00974108">
        <w:rPr>
          <w:rFonts w:ascii="Calibri" w:hAnsi="Calibri" w:cs="Calibri"/>
          <w:noProof/>
          <w:sz w:val="24"/>
          <w:szCs w:val="24"/>
        </w:rPr>
        <w:t>[2]</w:t>
      </w:r>
      <w:r w:rsidRPr="00974108">
        <w:rPr>
          <w:rFonts w:ascii="Calibri" w:hAnsi="Calibri" w:cs="Calibri"/>
          <w:noProof/>
          <w:sz w:val="24"/>
          <w:szCs w:val="24"/>
        </w:rPr>
        <w:tab/>
        <w:t xml:space="preserve">M. Wu </w:t>
      </w:r>
      <w:r w:rsidRPr="00974108">
        <w:rPr>
          <w:rFonts w:ascii="Calibri" w:hAnsi="Calibri" w:cs="Calibri"/>
          <w:i/>
          <w:iCs/>
          <w:noProof/>
          <w:sz w:val="24"/>
          <w:szCs w:val="24"/>
        </w:rPr>
        <w:t>et al.</w:t>
      </w:r>
      <w:r w:rsidRPr="00974108">
        <w:rPr>
          <w:rFonts w:ascii="Calibri" w:hAnsi="Calibri" w:cs="Calibri"/>
          <w:noProof/>
          <w:sz w:val="24"/>
          <w:szCs w:val="24"/>
        </w:rPr>
        <w:t xml:space="preserve">, “2020 Roadmap on Carbon Materials for Energy Storage and Conversion,” </w:t>
      </w:r>
      <w:r w:rsidRPr="00974108">
        <w:rPr>
          <w:rFonts w:ascii="Calibri" w:hAnsi="Calibri" w:cs="Calibri"/>
          <w:i/>
          <w:iCs/>
          <w:noProof/>
          <w:sz w:val="24"/>
          <w:szCs w:val="24"/>
        </w:rPr>
        <w:t>Chem. - An Asian J.</w:t>
      </w:r>
      <w:r w:rsidRPr="00974108">
        <w:rPr>
          <w:rFonts w:ascii="Calibri" w:hAnsi="Calibri" w:cs="Calibri"/>
          <w:noProof/>
          <w:sz w:val="24"/>
          <w:szCs w:val="24"/>
        </w:rPr>
        <w:t>, vol. 15, no. 7, pp. 995–1013, 2020, doi: 10.1002/asia.201901802.</w:t>
      </w:r>
    </w:p>
    <w:p w14:paraId="7B2CF83B" w14:textId="77777777" w:rsidR="00974108" w:rsidRPr="00974108" w:rsidRDefault="00974108" w:rsidP="00974108">
      <w:pPr>
        <w:widowControl w:val="0"/>
        <w:autoSpaceDE w:val="0"/>
        <w:autoSpaceDN w:val="0"/>
        <w:adjustRightInd w:val="0"/>
        <w:spacing w:after="0" w:line="240" w:lineRule="auto"/>
        <w:ind w:left="640" w:hanging="640"/>
        <w:rPr>
          <w:rFonts w:ascii="Calibri" w:hAnsi="Calibri" w:cs="Calibri"/>
          <w:noProof/>
          <w:sz w:val="24"/>
        </w:rPr>
      </w:pPr>
      <w:r w:rsidRPr="00974108">
        <w:rPr>
          <w:rFonts w:ascii="Calibri" w:hAnsi="Calibri" w:cs="Calibri"/>
          <w:noProof/>
          <w:sz w:val="24"/>
          <w:szCs w:val="24"/>
        </w:rPr>
        <w:t>[3]</w:t>
      </w:r>
      <w:r w:rsidRPr="00974108">
        <w:rPr>
          <w:rFonts w:ascii="Calibri" w:hAnsi="Calibri" w:cs="Calibri"/>
          <w:noProof/>
          <w:sz w:val="24"/>
          <w:szCs w:val="24"/>
        </w:rPr>
        <w:tab/>
        <w:t xml:space="preserve">C. Androulidakis </w:t>
      </w:r>
      <w:r w:rsidRPr="00974108">
        <w:rPr>
          <w:rFonts w:ascii="Calibri" w:hAnsi="Calibri" w:cs="Calibri"/>
          <w:i/>
          <w:iCs/>
          <w:noProof/>
          <w:sz w:val="24"/>
          <w:szCs w:val="24"/>
        </w:rPr>
        <w:t>et al.</w:t>
      </w:r>
      <w:r w:rsidRPr="00974108">
        <w:rPr>
          <w:rFonts w:ascii="Calibri" w:hAnsi="Calibri" w:cs="Calibri"/>
          <w:noProof/>
          <w:sz w:val="24"/>
          <w:szCs w:val="24"/>
        </w:rPr>
        <w:t xml:space="preserve">, “Multi-functional 2D hybrid aerogels for gas absorption applications,” </w:t>
      </w:r>
      <w:r w:rsidRPr="00974108">
        <w:rPr>
          <w:rFonts w:ascii="Calibri" w:hAnsi="Calibri" w:cs="Calibri"/>
          <w:i/>
          <w:iCs/>
          <w:noProof/>
          <w:sz w:val="24"/>
          <w:szCs w:val="24"/>
        </w:rPr>
        <w:t>Sci. Rep.</w:t>
      </w:r>
      <w:r w:rsidRPr="00974108">
        <w:rPr>
          <w:rFonts w:ascii="Calibri" w:hAnsi="Calibri" w:cs="Calibri"/>
          <w:noProof/>
          <w:sz w:val="24"/>
          <w:szCs w:val="24"/>
        </w:rPr>
        <w:t>, vol. 11, no. 1, p. 13548, 2021, doi: 10.1038/s41598-021-92957-8.</w:t>
      </w:r>
    </w:p>
    <w:p w14:paraId="748B006F" w14:textId="00877B0A" w:rsidR="00974108" w:rsidRPr="00BD193A" w:rsidRDefault="00974108" w:rsidP="00030081">
      <w:pPr>
        <w:autoSpaceDE w:val="0"/>
        <w:autoSpaceDN w:val="0"/>
        <w:adjustRightInd w:val="0"/>
        <w:spacing w:after="0" w:line="240" w:lineRule="auto"/>
        <w:jc w:val="both"/>
        <w:rPr>
          <w:rFonts w:cstheme="minorHAnsi"/>
          <w:sz w:val="24"/>
          <w:szCs w:val="24"/>
        </w:rPr>
      </w:pPr>
      <w:r>
        <w:rPr>
          <w:rFonts w:cstheme="minorHAnsi"/>
          <w:sz w:val="24"/>
          <w:szCs w:val="24"/>
        </w:rPr>
        <w:fldChar w:fldCharType="end"/>
      </w:r>
    </w:p>
    <w:sectPr w:rsidR="00974108" w:rsidRPr="00BD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51"/>
    <w:rsid w:val="00030081"/>
    <w:rsid w:val="000E2208"/>
    <w:rsid w:val="001029FE"/>
    <w:rsid w:val="00127126"/>
    <w:rsid w:val="0013170E"/>
    <w:rsid w:val="0017245F"/>
    <w:rsid w:val="001F6705"/>
    <w:rsid w:val="00287CBE"/>
    <w:rsid w:val="00301128"/>
    <w:rsid w:val="0032493B"/>
    <w:rsid w:val="0036176F"/>
    <w:rsid w:val="00405E7D"/>
    <w:rsid w:val="0042098E"/>
    <w:rsid w:val="004C29A4"/>
    <w:rsid w:val="005820ED"/>
    <w:rsid w:val="005D23A4"/>
    <w:rsid w:val="0061061A"/>
    <w:rsid w:val="00667F2F"/>
    <w:rsid w:val="006C7E21"/>
    <w:rsid w:val="006F0CC1"/>
    <w:rsid w:val="00704F53"/>
    <w:rsid w:val="00737E51"/>
    <w:rsid w:val="007469D2"/>
    <w:rsid w:val="00757F44"/>
    <w:rsid w:val="00763779"/>
    <w:rsid w:val="00792AB7"/>
    <w:rsid w:val="007B12ED"/>
    <w:rsid w:val="007D1ED0"/>
    <w:rsid w:val="00807653"/>
    <w:rsid w:val="008F76BB"/>
    <w:rsid w:val="00910378"/>
    <w:rsid w:val="00974108"/>
    <w:rsid w:val="009A78EA"/>
    <w:rsid w:val="009D3FC7"/>
    <w:rsid w:val="009D7A7A"/>
    <w:rsid w:val="00A01C5A"/>
    <w:rsid w:val="00A120E8"/>
    <w:rsid w:val="00AC7F31"/>
    <w:rsid w:val="00B45C39"/>
    <w:rsid w:val="00B52D61"/>
    <w:rsid w:val="00BB313F"/>
    <w:rsid w:val="00BD193A"/>
    <w:rsid w:val="00BD50D8"/>
    <w:rsid w:val="00C04F38"/>
    <w:rsid w:val="00C05A4F"/>
    <w:rsid w:val="00C834BF"/>
    <w:rsid w:val="00C97529"/>
    <w:rsid w:val="00CB1B84"/>
    <w:rsid w:val="00CB462A"/>
    <w:rsid w:val="00CB70C2"/>
    <w:rsid w:val="00D60D80"/>
    <w:rsid w:val="00D90A41"/>
    <w:rsid w:val="00DC51FC"/>
    <w:rsid w:val="00DD7E60"/>
    <w:rsid w:val="00DF54B6"/>
    <w:rsid w:val="00E43CF9"/>
    <w:rsid w:val="00ED5E50"/>
    <w:rsid w:val="00F76EC2"/>
    <w:rsid w:val="00F840FE"/>
    <w:rsid w:val="00FB3E70"/>
    <w:rsid w:val="00FE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F9E5"/>
  <w15:chartTrackingRefBased/>
  <w15:docId w15:val="{5302D2B1-19C5-4F41-9FDB-DB14DAA9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2ED"/>
    <w:rPr>
      <w:color w:val="0563C1" w:themeColor="hyperlink"/>
      <w:u w:val="single"/>
    </w:rPr>
  </w:style>
  <w:style w:type="character" w:styleId="UnresolvedMention">
    <w:name w:val="Unresolved Mention"/>
    <w:basedOn w:val="DefaultParagraphFont"/>
    <w:uiPriority w:val="99"/>
    <w:semiHidden/>
    <w:unhideWhenUsed/>
    <w:rsid w:val="007B12ED"/>
    <w:rPr>
      <w:color w:val="605E5C"/>
      <w:shd w:val="clear" w:color="auto" w:fill="E1DFDD"/>
    </w:rPr>
  </w:style>
  <w:style w:type="character" w:styleId="CommentReference">
    <w:name w:val="annotation reference"/>
    <w:basedOn w:val="DefaultParagraphFont"/>
    <w:uiPriority w:val="99"/>
    <w:unhideWhenUsed/>
    <w:qFormat/>
    <w:rsid w:val="008F76BB"/>
    <w:rPr>
      <w:sz w:val="16"/>
      <w:szCs w:val="16"/>
    </w:rPr>
  </w:style>
  <w:style w:type="paragraph" w:styleId="CommentText">
    <w:name w:val="annotation text"/>
    <w:aliases w:val="Car Car2 Car Car,Car Car2,Car Car2 Car,Carattere,Carattere Carattere Carattere Carattere"/>
    <w:basedOn w:val="Normal"/>
    <w:link w:val="CommentTextChar"/>
    <w:uiPriority w:val="99"/>
    <w:unhideWhenUsed/>
    <w:qFormat/>
    <w:rsid w:val="008F76BB"/>
    <w:pPr>
      <w:spacing w:before="60" w:after="60" w:line="240" w:lineRule="auto"/>
      <w:jc w:val="both"/>
    </w:pPr>
    <w:rPr>
      <w:rFonts w:ascii="Times New Roman" w:hAnsi="Times New Roman"/>
      <w:sz w:val="20"/>
      <w:szCs w:val="20"/>
      <w:lang w:val="en-GB"/>
    </w:rPr>
  </w:style>
  <w:style w:type="character" w:customStyle="1" w:styleId="CommentTextChar">
    <w:name w:val="Comment Text Char"/>
    <w:aliases w:val="Car Car2 Car Car Char,Car Car2 Char,Car Car2 Car Char,Carattere Char,Carattere Carattere Carattere Carattere Char"/>
    <w:basedOn w:val="DefaultParagraphFont"/>
    <w:link w:val="CommentText"/>
    <w:uiPriority w:val="99"/>
    <w:qFormat/>
    <w:rsid w:val="008F76BB"/>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galiotis@iceht.forth.gr" TargetMode="External"/><Relationship Id="rId5" Type="http://schemas.openxmlformats.org/officeDocument/2006/relationships/hyperlink" Target="mailto:ggorgolis@iceht.fort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19D3F0C-4F24-4F50-9CAB-F4BE6668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GraphenART</dc:creator>
  <cp:keywords/>
  <dc:description/>
  <cp:lastModifiedBy>GraphenART</cp:lastModifiedBy>
  <cp:revision>60</cp:revision>
  <dcterms:created xsi:type="dcterms:W3CDTF">2022-02-10T11:07:00Z</dcterms:created>
  <dcterms:modified xsi:type="dcterms:W3CDTF">2022-02-11T21:02:00Z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9bffbe7c-0470-3c40-91d0-d9bdd9f962dc</vt:lpwstr>
  </property>
  <property fmtid="{D5CDD505-2E9C-101B-9397-08002B2CF9AE}" pid="24" name="Mendeley Citation Style_1">
    <vt:lpwstr>http://www.zotero.org/styles/ieee</vt:lpwstr>
  </property>
</Properties>
</file>