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9611265" w:rsidR="00257888" w:rsidRPr="00DA5472" w:rsidRDefault="000A1DA9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0A1DA9">
        <w:rPr>
          <w:rStyle w:val="hps"/>
          <w:rFonts w:cs="Times New Roman"/>
          <w:b/>
          <w:szCs w:val="24"/>
          <w:lang w:val="el-GR"/>
        </w:rPr>
        <w:t xml:space="preserve">ΠΡΟΚΑΤΑΡΚΤΙΚΗ ΜΕΛΕΤΗ ΓΙΑ </w:t>
      </w:r>
      <w:r>
        <w:rPr>
          <w:rStyle w:val="hps"/>
          <w:rFonts w:cs="Times New Roman"/>
          <w:b/>
          <w:szCs w:val="24"/>
          <w:lang w:val="el-GR"/>
        </w:rPr>
        <w:t xml:space="preserve">ΤΗ ΣΥΜΒΟΛΗ ΤΩΝ ΕΠΕΝΔΥΣΕΩΝ ΣΕ </w:t>
      </w:r>
      <w:r w:rsidR="001E1098">
        <w:rPr>
          <w:rStyle w:val="hps"/>
          <w:rFonts w:cs="Times New Roman"/>
          <w:b/>
          <w:szCs w:val="24"/>
          <w:lang w:val="el-GR"/>
        </w:rPr>
        <w:t>ΑΝΑΝΕΩΣΙΜΕΣ ΠΗΓΕΣ ΕΝΕΡΓΕΙΑΣ</w:t>
      </w:r>
      <w:r>
        <w:rPr>
          <w:rStyle w:val="hps"/>
          <w:rFonts w:cs="Times New Roman"/>
          <w:b/>
          <w:szCs w:val="24"/>
          <w:lang w:val="el-GR"/>
        </w:rPr>
        <w:t xml:space="preserve"> ΣΤΗΝ </w:t>
      </w:r>
      <w:r w:rsidRPr="000A1DA9">
        <w:rPr>
          <w:rStyle w:val="hps"/>
          <w:rFonts w:cs="Times New Roman"/>
          <w:b/>
          <w:szCs w:val="24"/>
          <w:lang w:val="el-GR"/>
        </w:rPr>
        <w:t>ΑΝΑΠΤΥΞΗ</w:t>
      </w:r>
      <w:r>
        <w:rPr>
          <w:rStyle w:val="hps"/>
          <w:rFonts w:cs="Times New Roman"/>
          <w:b/>
          <w:szCs w:val="24"/>
          <w:lang w:val="el-GR"/>
        </w:rPr>
        <w:t xml:space="preserve"> ΜΕ ΒΑΣΗ </w:t>
      </w:r>
      <w:r w:rsidRPr="000A1DA9">
        <w:rPr>
          <w:rStyle w:val="hps"/>
          <w:rFonts w:cs="Times New Roman"/>
          <w:b/>
          <w:szCs w:val="24"/>
          <w:lang w:val="el-GR"/>
        </w:rPr>
        <w:t xml:space="preserve">ΤΟ ΕΘΝΙΚΟ ΣΧΕΔΙΟ ΓΙΑ ΤΗΝ ΕΝΕΡΓΕΙΑ ΚΑΙ ΤΟ ΚΛΙΜΑ ΤΗΣ ΕΛΛΑΔΑΣ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54E0E9A0" w:rsidR="00257888" w:rsidRPr="00C04EBD" w:rsidRDefault="000A1DA9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Δ. Σταμόπουλος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545828"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Π. Δήμας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>
        <w:rPr>
          <w:rStyle w:val="hps"/>
          <w:rFonts w:cs="Times New Roman"/>
          <w:b/>
          <w:szCs w:val="24"/>
          <w:lang w:val="el-GR"/>
        </w:rPr>
        <w:t xml:space="preserve"> Ι. Σέμπος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Α. Τσακανίκας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2941720D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A1DA9" w:rsidRPr="000A1DA9">
        <w:rPr>
          <w:rStyle w:val="hps"/>
          <w:rFonts w:cs="Times New Roman"/>
          <w:sz w:val="24"/>
          <w:szCs w:val="24"/>
        </w:rPr>
        <w:t>Εργαστήριο Βιομηχανικής και Ενεργειακής Οικονομίας</w:t>
      </w:r>
      <w:r w:rsidR="000A1DA9">
        <w:rPr>
          <w:rStyle w:val="hps"/>
          <w:rFonts w:cs="Times New Roman"/>
          <w:sz w:val="24"/>
          <w:szCs w:val="24"/>
        </w:rPr>
        <w:t xml:space="preserve">, </w:t>
      </w:r>
      <w:r w:rsidR="000A1DA9" w:rsidRPr="000A1DA9">
        <w:rPr>
          <w:rStyle w:val="hps"/>
          <w:rFonts w:cs="Times New Roman"/>
          <w:sz w:val="24"/>
          <w:szCs w:val="24"/>
        </w:rPr>
        <w:t>Σχολή Χημικών Μηχανικών</w:t>
      </w:r>
      <w:r w:rsidR="000A1DA9">
        <w:rPr>
          <w:rStyle w:val="hps"/>
          <w:rFonts w:cs="Times New Roman"/>
          <w:sz w:val="24"/>
          <w:szCs w:val="24"/>
        </w:rPr>
        <w:t xml:space="preserve">, </w:t>
      </w:r>
      <w:r w:rsidR="000A1DA9" w:rsidRPr="000A1DA9">
        <w:rPr>
          <w:rStyle w:val="hps"/>
          <w:rFonts w:cs="Times New Roman"/>
          <w:sz w:val="24"/>
          <w:szCs w:val="24"/>
        </w:rPr>
        <w:t>Εθνικό Μετσόβιο Πολυτεχνείο</w:t>
      </w:r>
    </w:p>
    <w:p w14:paraId="10342740" w14:textId="77777777" w:rsidR="000A1DA9" w:rsidRPr="00DA5472" w:rsidRDefault="00257888" w:rsidP="000A1DA9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A1DA9" w:rsidRPr="000A1DA9">
        <w:rPr>
          <w:rStyle w:val="hps"/>
          <w:rFonts w:cs="Times New Roman"/>
          <w:sz w:val="24"/>
          <w:szCs w:val="24"/>
        </w:rPr>
        <w:t>Σχολή Χημικών Μηχανικών</w:t>
      </w:r>
      <w:r w:rsidR="000A1DA9">
        <w:rPr>
          <w:rStyle w:val="hps"/>
          <w:rFonts w:cs="Times New Roman"/>
          <w:sz w:val="24"/>
          <w:szCs w:val="24"/>
        </w:rPr>
        <w:t xml:space="preserve">, </w:t>
      </w:r>
      <w:r w:rsidR="000A1DA9" w:rsidRPr="000A1DA9">
        <w:rPr>
          <w:rStyle w:val="hps"/>
          <w:rFonts w:cs="Times New Roman"/>
          <w:sz w:val="24"/>
          <w:szCs w:val="24"/>
        </w:rPr>
        <w:t>Εθνικό Μετσόβιο Πολυτεχνείο</w:t>
      </w:r>
    </w:p>
    <w:p w14:paraId="7D1D0008" w14:textId="3BD280F7" w:rsidR="002937B1" w:rsidRPr="00B33489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iCs/>
          <w:szCs w:val="24"/>
        </w:rPr>
      </w:pPr>
      <w:r w:rsidRPr="000A1DA9">
        <w:rPr>
          <w:rFonts w:eastAsia="Times New Roman" w:cs="Times New Roman"/>
          <w:i/>
          <w:szCs w:val="24"/>
        </w:rPr>
        <w:t xml:space="preserve"> </w:t>
      </w:r>
      <w:r w:rsidR="002937B1" w:rsidRPr="00B33489">
        <w:rPr>
          <w:rFonts w:cs="Times New Roman"/>
          <w:i/>
          <w:szCs w:val="24"/>
        </w:rPr>
        <w:t>*</w:t>
      </w:r>
      <w:r w:rsidR="00C04EBD" w:rsidRPr="00B33489">
        <w:rPr>
          <w:rFonts w:cs="Times New Roman"/>
          <w:i/>
          <w:szCs w:val="24"/>
        </w:rPr>
        <w:t xml:space="preserve"> </w:t>
      </w:r>
      <w:hyperlink r:id="rId7" w:history="1">
        <w:r w:rsidR="000A1DA9" w:rsidRPr="000A1DA9">
          <w:rPr>
            <w:rStyle w:val="Hyperlink"/>
            <w:i/>
            <w:iCs/>
          </w:rPr>
          <w:t>dstamopoulos@mail.ntua.gr</w:t>
        </w:r>
      </w:hyperlink>
    </w:p>
    <w:p w14:paraId="5C972B3D" w14:textId="77777777" w:rsidR="00257888" w:rsidRPr="00B33489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41B9179B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D02BA96" w14:textId="7D53564F" w:rsidR="00055CAD" w:rsidRPr="00684662" w:rsidRDefault="00684662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684662">
        <w:rPr>
          <w:rStyle w:val="hps"/>
          <w:rFonts w:cs="Times New Roman"/>
          <w:szCs w:val="24"/>
          <w:lang w:val="el-GR"/>
        </w:rPr>
        <w:t xml:space="preserve">Καθώς όλο και περισσότερες οικονομίες απομακρύνονται από </w:t>
      </w:r>
      <w:r w:rsidR="008055E5">
        <w:rPr>
          <w:rStyle w:val="hps"/>
          <w:rFonts w:cs="Times New Roman"/>
          <w:szCs w:val="24"/>
          <w:lang w:val="el-GR"/>
        </w:rPr>
        <w:t>τη χρήση</w:t>
      </w:r>
      <w:r w:rsidRPr="00684662">
        <w:rPr>
          <w:rStyle w:val="hps"/>
          <w:rFonts w:cs="Times New Roman"/>
          <w:szCs w:val="24"/>
          <w:lang w:val="el-GR"/>
        </w:rPr>
        <w:t xml:space="preserve"> ορυκτ</w:t>
      </w:r>
      <w:r w:rsidR="007304B2">
        <w:rPr>
          <w:rStyle w:val="hps"/>
          <w:rFonts w:cs="Times New Roman"/>
          <w:szCs w:val="24"/>
          <w:lang w:val="el-GR"/>
        </w:rPr>
        <w:t>ών</w:t>
      </w:r>
      <w:r w:rsidRPr="00684662">
        <w:rPr>
          <w:rStyle w:val="hps"/>
          <w:rFonts w:cs="Times New Roman"/>
          <w:szCs w:val="24"/>
          <w:lang w:val="el-GR"/>
        </w:rPr>
        <w:t xml:space="preserve"> κα</w:t>
      </w:r>
      <w:r w:rsidR="007304B2">
        <w:rPr>
          <w:rStyle w:val="hps"/>
          <w:rFonts w:cs="Times New Roman"/>
          <w:szCs w:val="24"/>
          <w:lang w:val="el-GR"/>
        </w:rPr>
        <w:t>υ</w:t>
      </w:r>
      <w:r w:rsidRPr="00684662">
        <w:rPr>
          <w:rStyle w:val="hps"/>
          <w:rFonts w:cs="Times New Roman"/>
          <w:szCs w:val="24"/>
          <w:lang w:val="el-GR"/>
        </w:rPr>
        <w:t>σ</w:t>
      </w:r>
      <w:r w:rsidR="007304B2">
        <w:rPr>
          <w:rStyle w:val="hps"/>
          <w:rFonts w:cs="Times New Roman"/>
          <w:szCs w:val="24"/>
          <w:lang w:val="el-GR"/>
        </w:rPr>
        <w:t>ί</w:t>
      </w:r>
      <w:r w:rsidRPr="00684662">
        <w:rPr>
          <w:rStyle w:val="hps"/>
          <w:rFonts w:cs="Times New Roman"/>
          <w:szCs w:val="24"/>
          <w:lang w:val="el-GR"/>
        </w:rPr>
        <w:t>μ</w:t>
      </w:r>
      <w:r w:rsidR="007304B2">
        <w:rPr>
          <w:rStyle w:val="hps"/>
          <w:rFonts w:cs="Times New Roman"/>
          <w:szCs w:val="24"/>
          <w:lang w:val="el-GR"/>
        </w:rPr>
        <w:t>ων</w:t>
      </w:r>
      <w:r w:rsidRPr="00684662">
        <w:rPr>
          <w:rStyle w:val="hps"/>
          <w:rFonts w:cs="Times New Roman"/>
          <w:szCs w:val="24"/>
          <w:lang w:val="el-GR"/>
        </w:rPr>
        <w:t xml:space="preserve"> για την παραγωγή ηλεκτρικής ενέργειας και </w:t>
      </w:r>
      <w:r w:rsidR="00616A8D">
        <w:rPr>
          <w:rStyle w:val="hps"/>
          <w:rFonts w:cs="Times New Roman"/>
          <w:szCs w:val="24"/>
          <w:lang w:val="el-GR"/>
        </w:rPr>
        <w:t>κατευθύνονται</w:t>
      </w:r>
      <w:r w:rsidR="00F93913">
        <w:rPr>
          <w:rStyle w:val="hps"/>
          <w:rFonts w:cs="Times New Roman"/>
          <w:szCs w:val="24"/>
          <w:lang w:val="el-GR"/>
        </w:rPr>
        <w:t xml:space="preserve"> </w:t>
      </w:r>
      <w:r w:rsidRPr="00684662">
        <w:rPr>
          <w:rStyle w:val="hps"/>
          <w:rFonts w:cs="Times New Roman"/>
          <w:szCs w:val="24"/>
          <w:lang w:val="el-GR"/>
        </w:rPr>
        <w:t xml:space="preserve">προς πιο </w:t>
      </w:r>
      <w:r w:rsidR="00F93913">
        <w:rPr>
          <w:rStyle w:val="hps"/>
          <w:rFonts w:cs="Times New Roman"/>
          <w:szCs w:val="24"/>
          <w:lang w:val="el-GR"/>
        </w:rPr>
        <w:t>«</w:t>
      </w:r>
      <w:r w:rsidRPr="00684662">
        <w:rPr>
          <w:rStyle w:val="hps"/>
          <w:rFonts w:cs="Times New Roman"/>
          <w:szCs w:val="24"/>
          <w:lang w:val="el-GR"/>
        </w:rPr>
        <w:t>πράσινες</w:t>
      </w:r>
      <w:r w:rsidR="00F93913">
        <w:rPr>
          <w:rStyle w:val="hps"/>
          <w:rFonts w:cs="Times New Roman"/>
          <w:szCs w:val="24"/>
          <w:lang w:val="el-GR"/>
        </w:rPr>
        <w:t>»</w:t>
      </w:r>
      <w:r w:rsidRPr="00684662">
        <w:rPr>
          <w:rStyle w:val="hps"/>
          <w:rFonts w:cs="Times New Roman"/>
          <w:szCs w:val="24"/>
          <w:lang w:val="el-GR"/>
        </w:rPr>
        <w:t xml:space="preserve"> εναλλακτικές, πολλές κοινωνικοοικονομικές επιπτώσεις αυτής της </w:t>
      </w:r>
      <w:r w:rsidR="00F93913">
        <w:rPr>
          <w:rStyle w:val="hps"/>
          <w:rFonts w:cs="Times New Roman"/>
          <w:szCs w:val="24"/>
          <w:lang w:val="el-GR"/>
        </w:rPr>
        <w:t>μετ</w:t>
      </w:r>
      <w:r w:rsidR="00680EB7">
        <w:rPr>
          <w:rStyle w:val="hps"/>
          <w:rFonts w:cs="Times New Roman"/>
          <w:szCs w:val="24"/>
          <w:lang w:val="el-GR"/>
        </w:rPr>
        <w:t>άβασης</w:t>
      </w:r>
      <w:r w:rsidRPr="00684662">
        <w:rPr>
          <w:rStyle w:val="hps"/>
          <w:rFonts w:cs="Times New Roman"/>
          <w:szCs w:val="24"/>
          <w:lang w:val="el-GR"/>
        </w:rPr>
        <w:t xml:space="preserve"> εξακολουθούν να </w:t>
      </w:r>
      <w:r w:rsidR="00F93913">
        <w:rPr>
          <w:rStyle w:val="hps"/>
          <w:rFonts w:cs="Times New Roman"/>
          <w:szCs w:val="24"/>
          <w:lang w:val="el-GR"/>
        </w:rPr>
        <w:t>παραμένουν σχετικά ανεξερεύνητες</w:t>
      </w:r>
      <w:r w:rsidRPr="00684662">
        <w:rPr>
          <w:rStyle w:val="hps"/>
          <w:rFonts w:cs="Times New Roman"/>
          <w:szCs w:val="24"/>
          <w:lang w:val="el-GR"/>
        </w:rPr>
        <w:t xml:space="preserve">. Η παρούσα εργασία επιχειρεί να αξιολογήσει τον οικονομικό αντίκτυπο των επενδύσεων σε ανανεώσιμες πηγές ενέργειας (ΑΠΕ) </w:t>
      </w:r>
      <w:r w:rsidR="00F93913">
        <w:rPr>
          <w:rStyle w:val="hps"/>
          <w:rFonts w:cs="Times New Roman"/>
          <w:szCs w:val="24"/>
          <w:lang w:val="el-GR"/>
        </w:rPr>
        <w:t>στην</w:t>
      </w:r>
      <w:r w:rsidRPr="00684662">
        <w:rPr>
          <w:rStyle w:val="hps"/>
          <w:rFonts w:cs="Times New Roman"/>
          <w:szCs w:val="24"/>
          <w:lang w:val="el-GR"/>
        </w:rPr>
        <w:t xml:space="preserve"> Ελλάδα</w:t>
      </w:r>
      <w:r w:rsidR="00F93913">
        <w:rPr>
          <w:rStyle w:val="hps"/>
          <w:rFonts w:cs="Times New Roman"/>
          <w:szCs w:val="24"/>
          <w:lang w:val="el-GR"/>
        </w:rPr>
        <w:t xml:space="preserve"> όπως αυτές </w:t>
      </w:r>
      <w:r w:rsidR="00FC1250">
        <w:rPr>
          <w:rStyle w:val="hps"/>
          <w:rFonts w:cs="Times New Roman"/>
          <w:szCs w:val="24"/>
          <w:lang w:val="el-GR"/>
        </w:rPr>
        <w:t>διαμορφώνονται</w:t>
      </w:r>
      <w:r w:rsidR="00F93913">
        <w:rPr>
          <w:rStyle w:val="hps"/>
          <w:rFonts w:cs="Times New Roman"/>
          <w:szCs w:val="24"/>
          <w:lang w:val="el-GR"/>
        </w:rPr>
        <w:t xml:space="preserve"> στο  </w:t>
      </w:r>
      <w:r w:rsidR="00616A8D">
        <w:rPr>
          <w:rStyle w:val="hps"/>
          <w:rFonts w:cs="Times New Roman"/>
          <w:szCs w:val="24"/>
          <w:lang w:val="el-GR"/>
        </w:rPr>
        <w:t>«</w:t>
      </w:r>
      <w:r w:rsidR="00616A8D" w:rsidRPr="00F93913">
        <w:rPr>
          <w:rStyle w:val="hps"/>
          <w:rFonts w:cs="Times New Roman"/>
          <w:szCs w:val="24"/>
          <w:lang w:val="el-GR"/>
        </w:rPr>
        <w:t>Εθνικό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 </w:t>
      </w:r>
      <w:r w:rsidR="00616A8D" w:rsidRPr="00F93913">
        <w:rPr>
          <w:rStyle w:val="hps"/>
          <w:rFonts w:cs="Times New Roman"/>
          <w:szCs w:val="24"/>
          <w:lang w:val="el-GR"/>
        </w:rPr>
        <w:t>Σχέδιο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 </w:t>
      </w:r>
      <w:r w:rsidR="00616A8D">
        <w:rPr>
          <w:rStyle w:val="hps"/>
          <w:rFonts w:cs="Times New Roman"/>
          <w:szCs w:val="24"/>
          <w:lang w:val="el-GR"/>
        </w:rPr>
        <w:t>γ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ια </w:t>
      </w:r>
      <w:r w:rsidR="00616A8D">
        <w:rPr>
          <w:rStyle w:val="hps"/>
          <w:rFonts w:cs="Times New Roman"/>
          <w:szCs w:val="24"/>
          <w:lang w:val="el-GR"/>
        </w:rPr>
        <w:t>τ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ην </w:t>
      </w:r>
      <w:r w:rsidR="00616A8D" w:rsidRPr="00F93913">
        <w:rPr>
          <w:rStyle w:val="hps"/>
          <w:rFonts w:cs="Times New Roman"/>
          <w:szCs w:val="24"/>
          <w:lang w:val="el-GR"/>
        </w:rPr>
        <w:t>Ενέργεια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 </w:t>
      </w:r>
      <w:r w:rsidR="00616A8D">
        <w:rPr>
          <w:rStyle w:val="hps"/>
          <w:rFonts w:cs="Times New Roman"/>
          <w:szCs w:val="24"/>
          <w:lang w:val="el-GR"/>
        </w:rPr>
        <w:t>κ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αι </w:t>
      </w:r>
      <w:r w:rsidR="00616A8D">
        <w:rPr>
          <w:rStyle w:val="hps"/>
          <w:rFonts w:cs="Times New Roman"/>
          <w:szCs w:val="24"/>
          <w:lang w:val="el-GR"/>
        </w:rPr>
        <w:t>τ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ο </w:t>
      </w:r>
      <w:r w:rsidR="00616A8D" w:rsidRPr="00F93913">
        <w:rPr>
          <w:rStyle w:val="hps"/>
          <w:rFonts w:cs="Times New Roman"/>
          <w:szCs w:val="24"/>
          <w:lang w:val="el-GR"/>
        </w:rPr>
        <w:t>Κλίμα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 </w:t>
      </w:r>
      <w:r w:rsidR="00616A8D">
        <w:rPr>
          <w:rStyle w:val="hps"/>
          <w:rFonts w:cs="Times New Roman"/>
          <w:szCs w:val="24"/>
          <w:lang w:val="el-GR"/>
        </w:rPr>
        <w:t>τ</w:t>
      </w:r>
      <w:r w:rsidR="00F93913" w:rsidRPr="00F93913">
        <w:rPr>
          <w:rStyle w:val="hps"/>
          <w:rFonts w:cs="Times New Roman"/>
          <w:szCs w:val="24"/>
          <w:lang w:val="el-GR"/>
        </w:rPr>
        <w:t xml:space="preserve">ης </w:t>
      </w:r>
      <w:r w:rsidR="00616A8D" w:rsidRPr="00F93913">
        <w:rPr>
          <w:rStyle w:val="hps"/>
          <w:rFonts w:cs="Times New Roman"/>
          <w:szCs w:val="24"/>
          <w:lang w:val="el-GR"/>
        </w:rPr>
        <w:t>Ελλάδας</w:t>
      </w:r>
      <w:r w:rsidR="00616A8D">
        <w:rPr>
          <w:rStyle w:val="hps"/>
          <w:rFonts w:cs="Times New Roman"/>
          <w:szCs w:val="24"/>
          <w:lang w:val="el-GR"/>
        </w:rPr>
        <w:t>»</w:t>
      </w:r>
      <w:r w:rsidR="00F93913" w:rsidRPr="00684662">
        <w:rPr>
          <w:rStyle w:val="hps"/>
          <w:rFonts w:cs="Times New Roman"/>
          <w:szCs w:val="24"/>
          <w:lang w:val="el-GR"/>
        </w:rPr>
        <w:t xml:space="preserve"> </w:t>
      </w:r>
      <w:r w:rsidR="00F93913">
        <w:rPr>
          <w:rStyle w:val="hps"/>
          <w:rFonts w:cs="Times New Roman"/>
          <w:szCs w:val="24"/>
          <w:lang w:val="el-GR"/>
        </w:rPr>
        <w:t>(ΕΣΕΚ)</w:t>
      </w:r>
      <w:r w:rsidR="006260BB">
        <w:rPr>
          <w:rStyle w:val="hps"/>
          <w:rFonts w:cs="Times New Roman"/>
          <w:szCs w:val="24"/>
          <w:lang w:val="el-GR"/>
        </w:rPr>
        <w:t xml:space="preserve"> </w:t>
      </w:r>
      <w:r w:rsidR="00B33489">
        <w:rPr>
          <w:rStyle w:val="hps"/>
          <w:rFonts w:cs="Times New Roman"/>
          <w:szCs w:val="24"/>
          <w:lang w:val="el-GR"/>
        </w:rPr>
        <w:t>[1]</w:t>
      </w:r>
      <w:r w:rsidR="00F93913">
        <w:rPr>
          <w:rStyle w:val="hps"/>
          <w:rFonts w:cs="Times New Roman"/>
          <w:szCs w:val="24"/>
          <w:lang w:val="el-GR"/>
        </w:rPr>
        <w:t xml:space="preserve"> καθώς </w:t>
      </w:r>
      <w:r w:rsidRPr="00684662">
        <w:rPr>
          <w:rStyle w:val="hps"/>
          <w:rFonts w:cs="Times New Roman"/>
          <w:szCs w:val="24"/>
          <w:lang w:val="el-GR"/>
        </w:rPr>
        <w:t xml:space="preserve">και εάν οι ευρύτερες επιπτώσεις αυτής της μετάβασης μπορούν να αντισταθμίσουν τις αρνητικές επιπτώσεις που θα προκύψουν από τη </w:t>
      </w:r>
      <w:r w:rsidR="00827CD8">
        <w:rPr>
          <w:rStyle w:val="hps"/>
          <w:rFonts w:cs="Times New Roman"/>
          <w:szCs w:val="24"/>
          <w:lang w:val="el-GR"/>
        </w:rPr>
        <w:t xml:space="preserve">προγραμματισμένη </w:t>
      </w:r>
      <w:r w:rsidRPr="00684662">
        <w:rPr>
          <w:rStyle w:val="hps"/>
          <w:rFonts w:cs="Times New Roman"/>
          <w:szCs w:val="24"/>
          <w:lang w:val="el-GR"/>
        </w:rPr>
        <w:t xml:space="preserve">σταδιακή κατάργηση των </w:t>
      </w:r>
      <w:r w:rsidR="00EA75D0" w:rsidRPr="00684662">
        <w:rPr>
          <w:rStyle w:val="hps"/>
          <w:rFonts w:cs="Times New Roman"/>
          <w:szCs w:val="24"/>
          <w:lang w:val="el-GR"/>
        </w:rPr>
        <w:t>λιγνιτ</w:t>
      </w:r>
      <w:r w:rsidR="00A66A83">
        <w:rPr>
          <w:rStyle w:val="hps"/>
          <w:rFonts w:cs="Times New Roman"/>
          <w:szCs w:val="24"/>
          <w:lang w:val="el-GR"/>
        </w:rPr>
        <w:t>ικ</w:t>
      </w:r>
      <w:r w:rsidR="00EA75D0" w:rsidRPr="00684662">
        <w:rPr>
          <w:rStyle w:val="hps"/>
          <w:rFonts w:cs="Times New Roman"/>
          <w:szCs w:val="24"/>
          <w:lang w:val="el-GR"/>
        </w:rPr>
        <w:t>ών</w:t>
      </w:r>
      <w:r w:rsidRPr="00684662">
        <w:rPr>
          <w:rStyle w:val="hps"/>
          <w:rFonts w:cs="Times New Roman"/>
          <w:szCs w:val="24"/>
          <w:lang w:val="el-GR"/>
        </w:rPr>
        <w:t xml:space="preserve"> μονάδων έως το 2028. Η μεθοδολογική προσέγγιση βασίζεται </w:t>
      </w:r>
      <w:r w:rsidR="00100497">
        <w:rPr>
          <w:rStyle w:val="hps"/>
          <w:rFonts w:cs="Times New Roman"/>
          <w:szCs w:val="24"/>
          <w:lang w:val="el-GR"/>
        </w:rPr>
        <w:t>στις βασικές αρχές της</w:t>
      </w:r>
      <w:r w:rsidRPr="00684662">
        <w:rPr>
          <w:rStyle w:val="hps"/>
          <w:rFonts w:cs="Times New Roman"/>
          <w:szCs w:val="24"/>
          <w:lang w:val="el-GR"/>
        </w:rPr>
        <w:t xml:space="preserve"> ανάλυση</w:t>
      </w:r>
      <w:r w:rsidR="00100497">
        <w:rPr>
          <w:rStyle w:val="hps"/>
          <w:rFonts w:cs="Times New Roman"/>
          <w:szCs w:val="24"/>
          <w:lang w:val="el-GR"/>
        </w:rPr>
        <w:t>ς</w:t>
      </w:r>
      <w:r w:rsidRPr="00684662">
        <w:rPr>
          <w:rStyle w:val="hps"/>
          <w:rFonts w:cs="Times New Roman"/>
          <w:szCs w:val="24"/>
          <w:lang w:val="el-GR"/>
        </w:rPr>
        <w:t xml:space="preserve"> εισροών-εκροών</w:t>
      </w:r>
      <w:r w:rsidR="00100497">
        <w:rPr>
          <w:rStyle w:val="hps"/>
          <w:rFonts w:cs="Times New Roman"/>
          <w:szCs w:val="24"/>
          <w:lang w:val="el-GR"/>
        </w:rPr>
        <w:t xml:space="preserve"> [2]</w:t>
      </w:r>
      <w:r w:rsidRPr="00684662">
        <w:rPr>
          <w:rStyle w:val="hps"/>
          <w:rFonts w:cs="Times New Roman"/>
          <w:szCs w:val="24"/>
          <w:lang w:val="el-GR"/>
        </w:rPr>
        <w:t xml:space="preserve"> και στη δημιουργία σύνθετων </w:t>
      </w:r>
      <w:r w:rsidR="00B4474E">
        <w:rPr>
          <w:rStyle w:val="hps"/>
          <w:rFonts w:cs="Times New Roman"/>
          <w:szCs w:val="24"/>
          <w:lang w:val="el-GR"/>
        </w:rPr>
        <w:t>κλάδων οικονομικής δραστηριότητας</w:t>
      </w:r>
      <w:r w:rsidR="00584F4C">
        <w:rPr>
          <w:rStyle w:val="hps"/>
          <w:rFonts w:cs="Times New Roman"/>
          <w:szCs w:val="24"/>
          <w:lang w:val="el-GR"/>
        </w:rPr>
        <w:t xml:space="preserve"> στο ευρύτερο οικοσύστημα των</w:t>
      </w:r>
      <w:r w:rsidR="00B4474E">
        <w:rPr>
          <w:rStyle w:val="hps"/>
          <w:rFonts w:cs="Times New Roman"/>
          <w:szCs w:val="24"/>
          <w:lang w:val="el-GR"/>
        </w:rPr>
        <w:t xml:space="preserve"> ΑΠΕ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11436F">
        <w:rPr>
          <w:rStyle w:val="hps"/>
          <w:rFonts w:cs="Times New Roman"/>
          <w:szCs w:val="24"/>
          <w:lang w:val="el-GR"/>
        </w:rPr>
        <w:t xml:space="preserve">[3] </w:t>
      </w:r>
      <w:r w:rsidR="007A38FE">
        <w:rPr>
          <w:rStyle w:val="hps"/>
          <w:rFonts w:cs="Times New Roman"/>
          <w:szCs w:val="24"/>
          <w:lang w:val="el-GR"/>
        </w:rPr>
        <w:t>και αποσκοπεί στ</w:t>
      </w:r>
      <w:r w:rsidRPr="00684662">
        <w:rPr>
          <w:rStyle w:val="hps"/>
          <w:rFonts w:cs="Times New Roman"/>
          <w:szCs w:val="24"/>
          <w:lang w:val="el-GR"/>
        </w:rPr>
        <w:t xml:space="preserve">ην εκτίμηση των </w:t>
      </w:r>
      <w:r w:rsidR="008B4EEC">
        <w:rPr>
          <w:rStyle w:val="hps"/>
          <w:rFonts w:cs="Times New Roman"/>
          <w:szCs w:val="24"/>
          <w:lang w:val="el-GR"/>
        </w:rPr>
        <w:t xml:space="preserve">πολλαπλασιαστικών </w:t>
      </w:r>
      <w:r w:rsidRPr="00684662">
        <w:rPr>
          <w:rStyle w:val="hps"/>
          <w:rFonts w:cs="Times New Roman"/>
          <w:szCs w:val="24"/>
          <w:lang w:val="el-GR"/>
        </w:rPr>
        <w:t xml:space="preserve">επιπτώσεων μιας σειράς </w:t>
      </w:r>
      <w:r w:rsidR="008B4EEC">
        <w:rPr>
          <w:rStyle w:val="hps"/>
          <w:rFonts w:cs="Times New Roman"/>
          <w:szCs w:val="24"/>
          <w:lang w:val="el-GR"/>
        </w:rPr>
        <w:t>επενδύσεων</w:t>
      </w:r>
      <w:r w:rsidR="0039004B">
        <w:rPr>
          <w:rStyle w:val="hps"/>
          <w:rFonts w:cs="Times New Roman"/>
          <w:szCs w:val="24"/>
          <w:lang w:val="el-GR"/>
        </w:rPr>
        <w:t xml:space="preserve"> σε διαφορετικές τεχνολογίες ΑΠΕ.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0B2D6C">
        <w:rPr>
          <w:rStyle w:val="hps"/>
          <w:rFonts w:cs="Times New Roman"/>
          <w:szCs w:val="24"/>
          <w:lang w:val="el-GR"/>
        </w:rPr>
        <w:t>Οι πηγές δεδομένων αποτελούνται από</w:t>
      </w:r>
      <w:r w:rsidRPr="00684662">
        <w:rPr>
          <w:rStyle w:val="hps"/>
          <w:rFonts w:cs="Times New Roman"/>
          <w:szCs w:val="24"/>
          <w:lang w:val="el-GR"/>
        </w:rPr>
        <w:t xml:space="preserve"> το</w:t>
      </w:r>
      <w:r w:rsidR="000B2D6C">
        <w:rPr>
          <w:rStyle w:val="hps"/>
          <w:rFonts w:cs="Times New Roman"/>
          <w:szCs w:val="24"/>
          <w:lang w:val="el-GR"/>
        </w:rPr>
        <w:t>υς</w:t>
      </w:r>
      <w:r w:rsidRPr="00684662">
        <w:rPr>
          <w:rStyle w:val="hps"/>
          <w:rFonts w:cs="Times New Roman"/>
          <w:szCs w:val="24"/>
          <w:lang w:val="el-GR"/>
        </w:rPr>
        <w:t xml:space="preserve"> πιο πρόσφατο</w:t>
      </w:r>
      <w:r w:rsidR="000B2D6C">
        <w:rPr>
          <w:rStyle w:val="hps"/>
          <w:rFonts w:cs="Times New Roman"/>
          <w:szCs w:val="24"/>
          <w:lang w:val="el-GR"/>
        </w:rPr>
        <w:t>υς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E850AC" w:rsidRPr="00684662">
        <w:rPr>
          <w:rStyle w:val="hps"/>
          <w:rFonts w:cs="Times New Roman"/>
          <w:szCs w:val="24"/>
          <w:lang w:val="el-GR"/>
        </w:rPr>
        <w:t>εθνικ</w:t>
      </w:r>
      <w:r w:rsidR="00E850AC">
        <w:rPr>
          <w:rStyle w:val="hps"/>
          <w:rFonts w:cs="Times New Roman"/>
          <w:szCs w:val="24"/>
          <w:lang w:val="el-GR"/>
        </w:rPr>
        <w:t>ούς</w:t>
      </w:r>
      <w:r w:rsidRPr="00684662">
        <w:rPr>
          <w:rStyle w:val="hps"/>
          <w:rFonts w:cs="Times New Roman"/>
          <w:szCs w:val="24"/>
          <w:lang w:val="el-GR"/>
        </w:rPr>
        <w:t xml:space="preserve"> πίνακες εισροών-εκροών</w:t>
      </w:r>
      <w:r w:rsidR="000B2D6C">
        <w:rPr>
          <w:rStyle w:val="hps"/>
          <w:rFonts w:cs="Times New Roman"/>
          <w:szCs w:val="24"/>
          <w:lang w:val="el-GR"/>
        </w:rPr>
        <w:t xml:space="preserve"> </w:t>
      </w:r>
      <w:r w:rsidR="00747582">
        <w:rPr>
          <w:rStyle w:val="hps"/>
          <w:rFonts w:cs="Times New Roman"/>
          <w:szCs w:val="24"/>
          <w:lang w:val="el-GR"/>
        </w:rPr>
        <w:t xml:space="preserve">(ΕΛΣΤΑΤ) </w:t>
      </w:r>
      <w:r w:rsidR="000B2D6C">
        <w:rPr>
          <w:rStyle w:val="hps"/>
          <w:rFonts w:cs="Times New Roman"/>
          <w:szCs w:val="24"/>
          <w:lang w:val="el-GR"/>
        </w:rPr>
        <w:t>καθώς και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135BED">
        <w:rPr>
          <w:rStyle w:val="hps"/>
          <w:rFonts w:cs="Times New Roman"/>
          <w:szCs w:val="24"/>
          <w:lang w:val="el-GR"/>
        </w:rPr>
        <w:t xml:space="preserve">από </w:t>
      </w:r>
      <w:r w:rsidR="000B2D6C">
        <w:rPr>
          <w:rStyle w:val="hps"/>
          <w:rFonts w:cs="Times New Roman"/>
          <w:szCs w:val="24"/>
          <w:lang w:val="el-GR"/>
        </w:rPr>
        <w:t>επιπλέον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E850AC">
        <w:rPr>
          <w:rStyle w:val="hps"/>
          <w:rFonts w:cs="Times New Roman"/>
          <w:szCs w:val="24"/>
          <w:lang w:val="el-GR"/>
        </w:rPr>
        <w:t>στοιχεία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135BED">
        <w:rPr>
          <w:rStyle w:val="hps"/>
          <w:rFonts w:cs="Times New Roman"/>
          <w:szCs w:val="24"/>
          <w:lang w:val="el-GR"/>
        </w:rPr>
        <w:t>από το Μητρώο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135BED">
        <w:rPr>
          <w:rStyle w:val="hps"/>
          <w:rFonts w:cs="Times New Roman"/>
          <w:szCs w:val="24"/>
          <w:lang w:val="el-GR"/>
        </w:rPr>
        <w:t>Ε</w:t>
      </w:r>
      <w:r w:rsidR="00E850AC">
        <w:rPr>
          <w:rStyle w:val="hps"/>
          <w:rFonts w:cs="Times New Roman"/>
          <w:szCs w:val="24"/>
          <w:lang w:val="el-GR"/>
        </w:rPr>
        <w:t xml:space="preserve">λληνικών </w:t>
      </w:r>
      <w:r w:rsidR="00135BED">
        <w:rPr>
          <w:rStyle w:val="hps"/>
          <w:rFonts w:cs="Times New Roman"/>
          <w:szCs w:val="24"/>
          <w:lang w:val="el-GR"/>
        </w:rPr>
        <w:t>Ε</w:t>
      </w:r>
      <w:r w:rsidRPr="00684662">
        <w:rPr>
          <w:rStyle w:val="hps"/>
          <w:rFonts w:cs="Times New Roman"/>
          <w:szCs w:val="24"/>
          <w:lang w:val="el-GR"/>
        </w:rPr>
        <w:t>πιχειρήσεων</w:t>
      </w:r>
      <w:r w:rsidR="00747582">
        <w:rPr>
          <w:rStyle w:val="hps"/>
          <w:rFonts w:cs="Times New Roman"/>
          <w:szCs w:val="24"/>
          <w:lang w:val="el-GR"/>
        </w:rPr>
        <w:t xml:space="preserve"> (ΕΛΣΤΑΤ)</w:t>
      </w:r>
      <w:r w:rsidRPr="00684662">
        <w:rPr>
          <w:rStyle w:val="hps"/>
          <w:rFonts w:cs="Times New Roman"/>
          <w:szCs w:val="24"/>
          <w:lang w:val="el-GR"/>
        </w:rPr>
        <w:t xml:space="preserve">. </w:t>
      </w:r>
      <w:r w:rsidR="002524A0">
        <w:rPr>
          <w:rStyle w:val="hps"/>
          <w:rFonts w:cs="Times New Roman"/>
          <w:szCs w:val="24"/>
          <w:lang w:val="el-GR"/>
        </w:rPr>
        <w:t>Οι</w:t>
      </w:r>
      <w:r w:rsidRPr="00684662">
        <w:rPr>
          <w:rStyle w:val="hps"/>
          <w:rFonts w:cs="Times New Roman"/>
          <w:szCs w:val="24"/>
          <w:lang w:val="el-GR"/>
        </w:rPr>
        <w:t xml:space="preserve"> διαρθρωτικές επιπτώσεις </w:t>
      </w:r>
      <w:r w:rsidR="002524A0">
        <w:rPr>
          <w:rStyle w:val="hps"/>
          <w:rFonts w:cs="Times New Roman"/>
          <w:szCs w:val="24"/>
          <w:lang w:val="el-GR"/>
        </w:rPr>
        <w:t>υπολογίζονται για μια</w:t>
      </w:r>
      <w:r w:rsidRPr="00684662">
        <w:rPr>
          <w:rStyle w:val="hps"/>
          <w:rFonts w:cs="Times New Roman"/>
          <w:szCs w:val="24"/>
          <w:lang w:val="el-GR"/>
        </w:rPr>
        <w:t xml:space="preserve"> σειρά </w:t>
      </w:r>
      <w:r w:rsidR="00122892">
        <w:rPr>
          <w:rStyle w:val="hps"/>
          <w:rFonts w:cs="Times New Roman"/>
          <w:szCs w:val="24"/>
          <w:lang w:val="el-GR"/>
        </w:rPr>
        <w:t>βασικών οικονομικών</w:t>
      </w:r>
      <w:r w:rsidRPr="00684662">
        <w:rPr>
          <w:rStyle w:val="hps"/>
          <w:rFonts w:cs="Times New Roman"/>
          <w:szCs w:val="24"/>
          <w:lang w:val="el-GR"/>
        </w:rPr>
        <w:t xml:space="preserve"> </w:t>
      </w:r>
      <w:r w:rsidR="00F21F9D">
        <w:rPr>
          <w:rStyle w:val="hps"/>
          <w:rFonts w:cs="Times New Roman"/>
          <w:szCs w:val="24"/>
          <w:lang w:val="el-GR"/>
        </w:rPr>
        <w:t>μεγεθών</w:t>
      </w:r>
      <w:r w:rsidRPr="00684662">
        <w:rPr>
          <w:rStyle w:val="hps"/>
          <w:rFonts w:cs="Times New Roman"/>
          <w:szCs w:val="24"/>
          <w:lang w:val="el-GR"/>
        </w:rPr>
        <w:t>, συμπεριλαμβανομένων του ΑΕΠ, της απασχόλησης, των μισθών, του κρατικού εισοδήματος (μέσω φόρων) και του</w:t>
      </w:r>
      <w:r w:rsidR="00122892">
        <w:rPr>
          <w:rStyle w:val="hps"/>
          <w:rFonts w:cs="Times New Roman"/>
          <w:szCs w:val="24"/>
          <w:lang w:val="el-GR"/>
        </w:rPr>
        <w:t xml:space="preserve"> ακαθάριστου</w:t>
      </w:r>
      <w:r w:rsidRPr="00684662">
        <w:rPr>
          <w:rStyle w:val="hps"/>
          <w:rFonts w:cs="Times New Roman"/>
          <w:szCs w:val="24"/>
          <w:lang w:val="el-GR"/>
        </w:rPr>
        <w:t xml:space="preserve"> σχηματισμού κεφαλαίου. Τα αποτελέσματα δείχνουν </w:t>
      </w:r>
      <w:r w:rsidR="000C4A09">
        <w:rPr>
          <w:rStyle w:val="hps"/>
          <w:rFonts w:cs="Times New Roman"/>
          <w:szCs w:val="24"/>
          <w:lang w:val="el-GR"/>
        </w:rPr>
        <w:t>πως</w:t>
      </w:r>
      <w:r w:rsidRPr="00684662">
        <w:rPr>
          <w:rStyle w:val="hps"/>
          <w:rFonts w:cs="Times New Roman"/>
          <w:szCs w:val="24"/>
          <w:lang w:val="el-GR"/>
        </w:rPr>
        <w:t xml:space="preserve"> παρ</w:t>
      </w:r>
      <w:r w:rsidR="000C4A09">
        <w:rPr>
          <w:rStyle w:val="hps"/>
          <w:rFonts w:cs="Times New Roman"/>
          <w:szCs w:val="24"/>
          <w:lang w:val="el-GR"/>
        </w:rPr>
        <w:t>ότι</w:t>
      </w:r>
      <w:r w:rsidRPr="00684662">
        <w:rPr>
          <w:rStyle w:val="hps"/>
          <w:rFonts w:cs="Times New Roman"/>
          <w:szCs w:val="24"/>
          <w:lang w:val="el-GR"/>
        </w:rPr>
        <w:t xml:space="preserve"> η παραγωγή </w:t>
      </w:r>
      <w:r w:rsidR="00F21F9D">
        <w:rPr>
          <w:rStyle w:val="hps"/>
          <w:rFonts w:cs="Times New Roman"/>
          <w:szCs w:val="24"/>
          <w:lang w:val="el-GR"/>
        </w:rPr>
        <w:t xml:space="preserve">ηλεκτρικής </w:t>
      </w:r>
      <w:r w:rsidRPr="00684662">
        <w:rPr>
          <w:rStyle w:val="hps"/>
          <w:rFonts w:cs="Times New Roman"/>
          <w:szCs w:val="24"/>
          <w:lang w:val="el-GR"/>
        </w:rPr>
        <w:t>ενέργειας</w:t>
      </w:r>
      <w:r w:rsidR="00F21F9D">
        <w:rPr>
          <w:rStyle w:val="hps"/>
          <w:rFonts w:cs="Times New Roman"/>
          <w:szCs w:val="24"/>
          <w:lang w:val="el-GR"/>
        </w:rPr>
        <w:t xml:space="preserve"> με βάση τον λιγνίτη</w:t>
      </w:r>
      <w:r w:rsidRPr="00684662">
        <w:rPr>
          <w:rStyle w:val="hps"/>
          <w:rFonts w:cs="Times New Roman"/>
          <w:szCs w:val="24"/>
          <w:lang w:val="el-GR"/>
        </w:rPr>
        <w:t xml:space="preserve"> εξακολουθεί να </w:t>
      </w:r>
      <w:r w:rsidR="00C173FA">
        <w:rPr>
          <w:rStyle w:val="hps"/>
          <w:rFonts w:cs="Times New Roman"/>
          <w:szCs w:val="24"/>
          <w:lang w:val="el-GR"/>
        </w:rPr>
        <w:t xml:space="preserve">συμβάλει σημαντικά </w:t>
      </w:r>
      <w:r w:rsidRPr="00684662">
        <w:rPr>
          <w:rStyle w:val="hps"/>
          <w:rFonts w:cs="Times New Roman"/>
          <w:szCs w:val="24"/>
          <w:lang w:val="el-GR"/>
        </w:rPr>
        <w:t xml:space="preserve">στην ελληνική οικονομία, η επένδυση σε </w:t>
      </w:r>
      <w:r w:rsidR="00C173FA">
        <w:rPr>
          <w:rStyle w:val="hps"/>
          <w:rFonts w:cs="Times New Roman"/>
          <w:szCs w:val="24"/>
          <w:lang w:val="el-GR"/>
        </w:rPr>
        <w:t>ΑΠΕ</w:t>
      </w:r>
      <w:r w:rsidRPr="00684662">
        <w:rPr>
          <w:rStyle w:val="hps"/>
          <w:rFonts w:cs="Times New Roman"/>
          <w:szCs w:val="24"/>
          <w:lang w:val="el-GR"/>
        </w:rPr>
        <w:t xml:space="preserve"> αποτελεί σημαντική ευκαιρία για </w:t>
      </w:r>
      <w:r w:rsidR="00966A44">
        <w:rPr>
          <w:rStyle w:val="hps"/>
          <w:rFonts w:cs="Times New Roman"/>
          <w:szCs w:val="24"/>
          <w:lang w:val="el-GR"/>
        </w:rPr>
        <w:t>τη</w:t>
      </w:r>
      <w:r w:rsidR="00D00827">
        <w:rPr>
          <w:rStyle w:val="hps"/>
          <w:rFonts w:cs="Times New Roman"/>
          <w:szCs w:val="24"/>
          <w:lang w:val="el-GR"/>
        </w:rPr>
        <w:t xml:space="preserve"> </w:t>
      </w:r>
      <w:r w:rsidR="00966A44">
        <w:rPr>
          <w:rStyle w:val="hps"/>
          <w:rFonts w:cs="Times New Roman"/>
          <w:szCs w:val="24"/>
          <w:lang w:val="el-GR"/>
        </w:rPr>
        <w:t xml:space="preserve">δημιουργία </w:t>
      </w:r>
      <w:r w:rsidRPr="00684662">
        <w:rPr>
          <w:rStyle w:val="hps"/>
          <w:rFonts w:cs="Times New Roman"/>
          <w:szCs w:val="24"/>
          <w:lang w:val="el-GR"/>
        </w:rPr>
        <w:t>προστιθέμενη</w:t>
      </w:r>
      <w:r w:rsidR="00966A44">
        <w:rPr>
          <w:rStyle w:val="hps"/>
          <w:rFonts w:cs="Times New Roman"/>
          <w:szCs w:val="24"/>
          <w:lang w:val="el-GR"/>
        </w:rPr>
        <w:t>ς</w:t>
      </w:r>
      <w:r w:rsidRPr="00684662">
        <w:rPr>
          <w:rStyle w:val="hps"/>
          <w:rFonts w:cs="Times New Roman"/>
          <w:szCs w:val="24"/>
          <w:lang w:val="el-GR"/>
        </w:rPr>
        <w:t xml:space="preserve"> αξία</w:t>
      </w:r>
      <w:r w:rsidR="00966A44">
        <w:rPr>
          <w:rStyle w:val="hps"/>
          <w:rFonts w:cs="Times New Roman"/>
          <w:szCs w:val="24"/>
          <w:lang w:val="el-GR"/>
        </w:rPr>
        <w:t>ς</w:t>
      </w:r>
      <w:r w:rsidRPr="00684662">
        <w:rPr>
          <w:rStyle w:val="hps"/>
          <w:rFonts w:cs="Times New Roman"/>
          <w:szCs w:val="24"/>
          <w:lang w:val="el-GR"/>
        </w:rPr>
        <w:t xml:space="preserve"> και θέσεων εργασίας</w:t>
      </w:r>
      <w:r w:rsidR="002F14C6">
        <w:rPr>
          <w:rStyle w:val="hps"/>
          <w:rFonts w:cs="Times New Roman"/>
          <w:szCs w:val="24"/>
          <w:lang w:val="el-GR"/>
        </w:rPr>
        <w:t xml:space="preserve"> [4]</w:t>
      </w:r>
      <w:r w:rsidR="007B3E4A">
        <w:rPr>
          <w:rStyle w:val="hps"/>
          <w:rFonts w:cs="Times New Roman"/>
          <w:szCs w:val="24"/>
          <w:lang w:val="el-GR"/>
        </w:rPr>
        <w:t>.</w:t>
      </w:r>
    </w:p>
    <w:p w14:paraId="47CE261A" w14:textId="2610EB38" w:rsidR="00055CAD" w:rsidRPr="00684662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1E2E8F4A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684662" w:rsidRPr="00684662">
        <w:rPr>
          <w:rFonts w:cs="Times New Roman"/>
          <w:sz w:val="20"/>
          <w:szCs w:val="20"/>
          <w:lang w:val="el-GR"/>
        </w:rPr>
        <w:t>ανάλυση εισροών-εκροών</w:t>
      </w:r>
      <w:r w:rsidR="00684662">
        <w:rPr>
          <w:rFonts w:cs="Times New Roman"/>
          <w:sz w:val="20"/>
          <w:szCs w:val="20"/>
          <w:lang w:val="el-GR"/>
        </w:rPr>
        <w:t>,</w:t>
      </w:r>
      <w:r w:rsidR="00684662" w:rsidRPr="00684662">
        <w:rPr>
          <w:rFonts w:cs="Times New Roman"/>
          <w:sz w:val="20"/>
          <w:szCs w:val="20"/>
          <w:lang w:val="el-GR"/>
        </w:rPr>
        <w:t xml:space="preserve"> ανανεώσιμες πηγές ενέργειας</w:t>
      </w:r>
      <w:r w:rsidR="00684662">
        <w:rPr>
          <w:rFonts w:cs="Times New Roman"/>
          <w:sz w:val="20"/>
          <w:szCs w:val="20"/>
          <w:lang w:val="el-GR"/>
        </w:rPr>
        <w:t>,</w:t>
      </w:r>
      <w:r w:rsidR="00684662" w:rsidRPr="00684662">
        <w:rPr>
          <w:rFonts w:cs="Times New Roman"/>
          <w:sz w:val="20"/>
          <w:szCs w:val="20"/>
          <w:lang w:val="el-GR"/>
        </w:rPr>
        <w:t xml:space="preserve"> </w:t>
      </w:r>
      <w:r w:rsidR="00684662">
        <w:rPr>
          <w:rFonts w:cs="Times New Roman"/>
          <w:sz w:val="20"/>
          <w:szCs w:val="20"/>
          <w:lang w:val="el-GR"/>
        </w:rPr>
        <w:t>απολιγνιτοποίηση,</w:t>
      </w:r>
      <w:r w:rsidR="00684662" w:rsidRPr="00684662">
        <w:rPr>
          <w:rFonts w:cs="Times New Roman"/>
          <w:sz w:val="20"/>
          <w:szCs w:val="20"/>
          <w:lang w:val="el-GR"/>
        </w:rPr>
        <w:t xml:space="preserve"> οικονομικοί πολλαπλασιαστές</w:t>
      </w:r>
      <w:r w:rsidR="00684662">
        <w:rPr>
          <w:rFonts w:cs="Times New Roman"/>
          <w:sz w:val="20"/>
          <w:szCs w:val="20"/>
          <w:lang w:val="el-GR"/>
        </w:rPr>
        <w:t>,</w:t>
      </w:r>
      <w:r w:rsidR="00684662" w:rsidRPr="00684662">
        <w:rPr>
          <w:rFonts w:cs="Times New Roman"/>
          <w:sz w:val="20"/>
          <w:szCs w:val="20"/>
          <w:lang w:val="el-GR"/>
        </w:rPr>
        <w:t xml:space="preserve"> ενεργειακή πολιτική</w:t>
      </w:r>
      <w:r w:rsidR="00684662" w:rsidRPr="00684662">
        <w:rPr>
          <w:rStyle w:val="hps"/>
          <w:rFonts w:cs="Times New Roman"/>
          <w:sz w:val="20"/>
          <w:szCs w:val="20"/>
          <w:lang w:val="el-GR"/>
        </w:rPr>
        <w:t xml:space="preserve"> 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0A1DA9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6F8E9A02" w14:textId="77777777" w:rsidR="00264E71" w:rsidRPr="00ED18C7" w:rsidRDefault="008370E3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</w:rPr>
      </w:pPr>
      <w:r w:rsidRPr="00ED18C7">
        <w:rPr>
          <w:rStyle w:val="hps"/>
          <w:rFonts w:cs="Times New Roman"/>
          <w:bCs/>
          <w:sz w:val="20"/>
          <w:szCs w:val="20"/>
        </w:rPr>
        <w:t xml:space="preserve">[1] Hellenic Republic, Ministry of the Environment and Energy, MEEN, The National Energy and Climate Plan (NECP), 2019, Available </w:t>
      </w:r>
      <w:hyperlink r:id="rId8" w:history="1">
        <w:r w:rsidRPr="00ED18C7">
          <w:rPr>
            <w:rStyle w:val="Hyperlink"/>
            <w:rFonts w:cs="Times New Roman"/>
            <w:bCs/>
            <w:sz w:val="20"/>
            <w:szCs w:val="20"/>
          </w:rPr>
          <w:t>online</w:t>
        </w:r>
      </w:hyperlink>
    </w:p>
    <w:p w14:paraId="730C2E8A" w14:textId="557025A1" w:rsidR="008370E3" w:rsidRPr="00ED18C7" w:rsidRDefault="00264E71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</w:rPr>
      </w:pPr>
      <w:r w:rsidRPr="00ED18C7">
        <w:rPr>
          <w:rStyle w:val="hps"/>
          <w:rFonts w:cs="Times New Roman"/>
          <w:bCs/>
          <w:sz w:val="20"/>
          <w:szCs w:val="20"/>
        </w:rPr>
        <w:t>[2] Leontief W. Input–output economics. 2nd ed. New York: Oxford University Press, 1986.</w:t>
      </w:r>
      <w:r w:rsidR="008370E3" w:rsidRPr="00ED18C7">
        <w:rPr>
          <w:rStyle w:val="hps"/>
          <w:rFonts w:cs="Times New Roman"/>
          <w:bCs/>
          <w:sz w:val="20"/>
          <w:szCs w:val="20"/>
        </w:rPr>
        <w:t xml:space="preserve"> </w:t>
      </w:r>
    </w:p>
    <w:p w14:paraId="69512ABC" w14:textId="10C73BDF" w:rsidR="00677CFE" w:rsidRDefault="00677CFE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</w:rPr>
      </w:pPr>
      <w:r w:rsidRPr="00ED18C7">
        <w:rPr>
          <w:rStyle w:val="hps"/>
          <w:rFonts w:cs="Times New Roman"/>
          <w:bCs/>
          <w:sz w:val="20"/>
          <w:szCs w:val="20"/>
        </w:rPr>
        <w:t xml:space="preserve">[3] Garrett-Peltier, H. Green versus Brown: Comparing the Employment Impacts of Energy Efficiency, Renewable Energy, and Fossil Fuels Using an Input-Output Model. </w:t>
      </w:r>
      <w:r w:rsidRPr="00D00827">
        <w:rPr>
          <w:rStyle w:val="hps"/>
          <w:rFonts w:cs="Times New Roman"/>
          <w:bCs/>
          <w:i/>
          <w:iCs/>
          <w:sz w:val="20"/>
          <w:szCs w:val="20"/>
        </w:rPr>
        <w:t>Econ. Model</w:t>
      </w:r>
      <w:r w:rsidRPr="00D00827">
        <w:rPr>
          <w:rStyle w:val="hps"/>
          <w:rFonts w:cs="Times New Roman"/>
          <w:bCs/>
          <w:sz w:val="20"/>
          <w:szCs w:val="20"/>
        </w:rPr>
        <w:t xml:space="preserve">. 2017, </w:t>
      </w:r>
      <w:r w:rsidRPr="007356D2">
        <w:rPr>
          <w:rStyle w:val="hps"/>
          <w:rFonts w:cs="Times New Roman"/>
          <w:bCs/>
          <w:i/>
          <w:iCs/>
          <w:sz w:val="20"/>
          <w:szCs w:val="20"/>
        </w:rPr>
        <w:t>61</w:t>
      </w:r>
      <w:r w:rsidRPr="00D00827">
        <w:rPr>
          <w:rStyle w:val="hps"/>
          <w:rFonts w:cs="Times New Roman"/>
          <w:bCs/>
          <w:sz w:val="20"/>
          <w:szCs w:val="20"/>
        </w:rPr>
        <w:t xml:space="preserve">, 439–447. </w:t>
      </w:r>
      <w:hyperlink r:id="rId9" w:history="1">
        <w:r w:rsidRPr="00D00827">
          <w:rPr>
            <w:rStyle w:val="Hyperlink"/>
            <w:rFonts w:cs="Times New Roman"/>
            <w:bCs/>
            <w:sz w:val="20"/>
            <w:szCs w:val="20"/>
          </w:rPr>
          <w:t>https://doi.org/10.1016/J.ECONMOD.2016.11.012</w:t>
        </w:r>
      </w:hyperlink>
      <w:r w:rsidRPr="00D00827">
        <w:rPr>
          <w:rStyle w:val="hps"/>
          <w:rFonts w:cs="Times New Roman"/>
          <w:bCs/>
          <w:sz w:val="20"/>
          <w:szCs w:val="20"/>
        </w:rPr>
        <w:t>.</w:t>
      </w:r>
    </w:p>
    <w:p w14:paraId="0FC2831C" w14:textId="6CF107C3" w:rsidR="002F14C6" w:rsidRPr="007356D2" w:rsidRDefault="002F14C6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356D2">
        <w:rPr>
          <w:rStyle w:val="hps"/>
          <w:rFonts w:cs="Times New Roman"/>
          <w:bCs/>
          <w:sz w:val="20"/>
          <w:szCs w:val="20"/>
          <w:lang w:val="en-US"/>
        </w:rPr>
        <w:t xml:space="preserve">[4] </w:t>
      </w:r>
      <w:r w:rsidR="007356D2" w:rsidRPr="007356D2">
        <w:rPr>
          <w:rFonts w:cs="Times New Roman"/>
          <w:bCs/>
          <w:sz w:val="20"/>
          <w:szCs w:val="20"/>
        </w:rPr>
        <w:t>Stamopoulos, D.; Dimas, P.; Sebos, I.; Tsakanikas, A. Does Investing in Renewable Energy Sources Contribute to Growth? A Preliminary Study on Greece’s National Energy and Climate Plan. </w:t>
      </w:r>
      <w:r w:rsidR="007356D2" w:rsidRPr="007356D2">
        <w:rPr>
          <w:rFonts w:cs="Times New Roman"/>
          <w:bCs/>
          <w:i/>
          <w:iCs/>
          <w:sz w:val="20"/>
          <w:szCs w:val="20"/>
        </w:rPr>
        <w:t>Energies</w:t>
      </w:r>
      <w:r w:rsidR="007356D2" w:rsidRPr="007356D2">
        <w:rPr>
          <w:rFonts w:cs="Times New Roman"/>
          <w:bCs/>
          <w:sz w:val="20"/>
          <w:szCs w:val="20"/>
        </w:rPr>
        <w:t> </w:t>
      </w:r>
      <w:r w:rsidR="007356D2" w:rsidRPr="007356D2">
        <w:rPr>
          <w:rFonts w:cs="Times New Roman"/>
          <w:sz w:val="20"/>
          <w:szCs w:val="20"/>
        </w:rPr>
        <w:t>2021,</w:t>
      </w:r>
      <w:r w:rsidR="007356D2" w:rsidRPr="007356D2">
        <w:rPr>
          <w:rFonts w:cs="Times New Roman"/>
          <w:bCs/>
          <w:sz w:val="20"/>
          <w:szCs w:val="20"/>
        </w:rPr>
        <w:t> </w:t>
      </w:r>
      <w:r w:rsidR="007356D2" w:rsidRPr="007356D2">
        <w:rPr>
          <w:rFonts w:cs="Times New Roman"/>
          <w:bCs/>
          <w:i/>
          <w:iCs/>
          <w:sz w:val="20"/>
          <w:szCs w:val="20"/>
        </w:rPr>
        <w:t>14</w:t>
      </w:r>
      <w:r w:rsidR="007356D2" w:rsidRPr="007356D2">
        <w:rPr>
          <w:rFonts w:cs="Times New Roman"/>
          <w:bCs/>
          <w:sz w:val="20"/>
          <w:szCs w:val="20"/>
        </w:rPr>
        <w:t xml:space="preserve">, 8537. </w:t>
      </w:r>
      <w:hyperlink r:id="rId10" w:history="1">
        <w:r w:rsidR="007356D2" w:rsidRPr="0068496C">
          <w:rPr>
            <w:rStyle w:val="Hyperlink"/>
            <w:rFonts w:cs="Times New Roman"/>
            <w:bCs/>
            <w:sz w:val="20"/>
            <w:szCs w:val="20"/>
          </w:rPr>
          <w:t>https://doi.org/10.3390/en14248537</w:t>
        </w:r>
      </w:hyperlink>
      <w:r w:rsidR="007356D2">
        <w:rPr>
          <w:rFonts w:cs="Times New Roman"/>
          <w:bCs/>
          <w:sz w:val="20"/>
          <w:szCs w:val="20"/>
        </w:rPr>
        <w:t xml:space="preserve"> </w:t>
      </w:r>
    </w:p>
    <w:p w14:paraId="1D7BAB28" w14:textId="7CBA440C" w:rsidR="004F7B38" w:rsidRPr="008370E3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sectPr w:rsidR="004F7B38" w:rsidRPr="008370E3" w:rsidSect="00485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63ED" w14:textId="77777777" w:rsidR="00CE5B24" w:rsidRDefault="00CE5B24" w:rsidP="00B10FCD">
      <w:pPr>
        <w:spacing w:after="0" w:line="240" w:lineRule="auto"/>
      </w:pPr>
      <w:r>
        <w:separator/>
      </w:r>
    </w:p>
  </w:endnote>
  <w:endnote w:type="continuationSeparator" w:id="0">
    <w:p w14:paraId="5DCA0664" w14:textId="77777777" w:rsidR="00CE5B24" w:rsidRDefault="00CE5B24" w:rsidP="00B10FCD">
      <w:pPr>
        <w:spacing w:after="0" w:line="240" w:lineRule="auto"/>
      </w:pPr>
      <w:r>
        <w:continuationSeparator/>
      </w:r>
    </w:p>
  </w:endnote>
  <w:endnote w:type="continuationNotice" w:id="1">
    <w:p w14:paraId="662DBB88" w14:textId="77777777" w:rsidR="00F4588F" w:rsidRDefault="00F45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FDE" w14:textId="77777777" w:rsidR="00CE5B24" w:rsidRDefault="00CE5B24" w:rsidP="00B10FCD">
      <w:pPr>
        <w:spacing w:after="0" w:line="240" w:lineRule="auto"/>
      </w:pPr>
      <w:r>
        <w:separator/>
      </w:r>
    </w:p>
  </w:footnote>
  <w:footnote w:type="continuationSeparator" w:id="0">
    <w:p w14:paraId="3237E8D4" w14:textId="77777777" w:rsidR="00CE5B24" w:rsidRDefault="00CE5B24" w:rsidP="00B10FCD">
      <w:pPr>
        <w:spacing w:after="0" w:line="240" w:lineRule="auto"/>
      </w:pPr>
      <w:r>
        <w:continuationSeparator/>
      </w:r>
    </w:p>
  </w:footnote>
  <w:footnote w:type="continuationNotice" w:id="1">
    <w:p w14:paraId="2AF19E89" w14:textId="77777777" w:rsidR="00F4588F" w:rsidRDefault="00F45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485EB7" w:rsidRPr="00C55D63" w:rsidRDefault="00C04EBD" w:rsidP="00485EB7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412C4"/>
    <w:rsid w:val="00055CAD"/>
    <w:rsid w:val="000A1DA9"/>
    <w:rsid w:val="000B2D6C"/>
    <w:rsid w:val="000C4A09"/>
    <w:rsid w:val="000E7582"/>
    <w:rsid w:val="00100497"/>
    <w:rsid w:val="0011436F"/>
    <w:rsid w:val="00122892"/>
    <w:rsid w:val="001327BE"/>
    <w:rsid w:val="00134726"/>
    <w:rsid w:val="00135BED"/>
    <w:rsid w:val="00137B0D"/>
    <w:rsid w:val="00175647"/>
    <w:rsid w:val="001E1098"/>
    <w:rsid w:val="00232F4E"/>
    <w:rsid w:val="002524A0"/>
    <w:rsid w:val="00257888"/>
    <w:rsid w:val="002607CE"/>
    <w:rsid w:val="00264E71"/>
    <w:rsid w:val="0027478C"/>
    <w:rsid w:val="002937B1"/>
    <w:rsid w:val="002938E7"/>
    <w:rsid w:val="002B13CB"/>
    <w:rsid w:val="002F14C6"/>
    <w:rsid w:val="00326D23"/>
    <w:rsid w:val="00362406"/>
    <w:rsid w:val="0039004B"/>
    <w:rsid w:val="00485EB7"/>
    <w:rsid w:val="004F7B38"/>
    <w:rsid w:val="00545828"/>
    <w:rsid w:val="00584F4C"/>
    <w:rsid w:val="005A4565"/>
    <w:rsid w:val="005F09EF"/>
    <w:rsid w:val="00616A8D"/>
    <w:rsid w:val="006260BB"/>
    <w:rsid w:val="00670DAB"/>
    <w:rsid w:val="00677CFE"/>
    <w:rsid w:val="00680EB7"/>
    <w:rsid w:val="00684662"/>
    <w:rsid w:val="00705DF0"/>
    <w:rsid w:val="007304B2"/>
    <w:rsid w:val="007356D2"/>
    <w:rsid w:val="00747582"/>
    <w:rsid w:val="007A38FE"/>
    <w:rsid w:val="007A78B3"/>
    <w:rsid w:val="007B3E4A"/>
    <w:rsid w:val="007D409E"/>
    <w:rsid w:val="008055E5"/>
    <w:rsid w:val="00827CD8"/>
    <w:rsid w:val="008370E3"/>
    <w:rsid w:val="008B4EEC"/>
    <w:rsid w:val="008E54B5"/>
    <w:rsid w:val="00915963"/>
    <w:rsid w:val="00935497"/>
    <w:rsid w:val="00966A44"/>
    <w:rsid w:val="009803F2"/>
    <w:rsid w:val="00997EF7"/>
    <w:rsid w:val="009C653D"/>
    <w:rsid w:val="009E4CF2"/>
    <w:rsid w:val="00A5793A"/>
    <w:rsid w:val="00A66A83"/>
    <w:rsid w:val="00A84D47"/>
    <w:rsid w:val="00AA4FE7"/>
    <w:rsid w:val="00AB16ED"/>
    <w:rsid w:val="00AD393E"/>
    <w:rsid w:val="00AF459A"/>
    <w:rsid w:val="00B10FCD"/>
    <w:rsid w:val="00B33489"/>
    <w:rsid w:val="00B36AC7"/>
    <w:rsid w:val="00B4474E"/>
    <w:rsid w:val="00C04EBD"/>
    <w:rsid w:val="00C07544"/>
    <w:rsid w:val="00C173FA"/>
    <w:rsid w:val="00C55D63"/>
    <w:rsid w:val="00C84852"/>
    <w:rsid w:val="00CE5B24"/>
    <w:rsid w:val="00CF4EEC"/>
    <w:rsid w:val="00D00827"/>
    <w:rsid w:val="00D1481F"/>
    <w:rsid w:val="00D5317A"/>
    <w:rsid w:val="00D678BE"/>
    <w:rsid w:val="00DA5472"/>
    <w:rsid w:val="00DE346C"/>
    <w:rsid w:val="00E62F56"/>
    <w:rsid w:val="00E63CAC"/>
    <w:rsid w:val="00E850AC"/>
    <w:rsid w:val="00E853C3"/>
    <w:rsid w:val="00E87E35"/>
    <w:rsid w:val="00EA75D0"/>
    <w:rsid w:val="00ED18C7"/>
    <w:rsid w:val="00ED7AD7"/>
    <w:rsid w:val="00F21F9D"/>
    <w:rsid w:val="00F4588F"/>
    <w:rsid w:val="00F93913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0C6C8C73-67D7-47A9-8046-3220D01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energy-climate-change-environment/implementation-eu-countries/energy-and-climate-governance-and-reporting/national-energy-and-climate-plans_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amopoulos@mail.ntua.g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3390/en14248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CONMOD.2016.11.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495</Words>
  <Characters>2823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Links>
    <vt:vector size="24" baseType="variant"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https://doi.org/10.3390/en14248537</vt:lpwstr>
      </vt:variant>
      <vt:variant>
        <vt:lpwstr/>
      </vt:variant>
      <vt:variant>
        <vt:i4>5767193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https://doi.org/10.1016/J.ECONMOD.2016.11.012</vt:lpwstr>
      </vt:variant>
      <vt:variant>
        <vt:lpwstr/>
      </vt:variant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https://ec.europa.eu/info/energy-climate-change-environment/implementation-eu-countries/energy-and-climate-governance-and-reporting/national-energy-and-climate-plans_en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mailto:dstamopoulos@mail.ntua.gr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cp:lastModifiedBy>Petros Dimas</cp:lastModifiedBy>
  <cp:revision>79</cp:revision>
  <cp:lastPrinted>2016-12-14T08:08:00Z</cp:lastPrinted>
  <dcterms:created xsi:type="dcterms:W3CDTF">2021-10-19T09:40:00Z</dcterms:created>
  <dcterms:modified xsi:type="dcterms:W3CDTF">2022-02-04T14:20:00Z</dcterms:modified>
</cp:coreProperties>
</file>