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8C4E1" w14:textId="262CE09E" w:rsidR="006B6D39" w:rsidRPr="00077BBE" w:rsidRDefault="558BDF0D" w:rsidP="558BDF0D">
      <w:pPr>
        <w:jc w:val="both"/>
        <w:rPr>
          <w:rFonts w:ascii="Calibri" w:eastAsia="Calibri" w:hAnsi="Calibri" w:cs="Calibri"/>
          <w:b/>
          <w:bCs/>
        </w:rPr>
      </w:pPr>
      <w:r w:rsidRPr="558BDF0D">
        <w:rPr>
          <w:rFonts w:ascii="Calibri" w:eastAsia="Calibri" w:hAnsi="Calibri" w:cs="Calibri"/>
          <w:b/>
          <w:bCs/>
        </w:rPr>
        <w:t>COMPARISON OF THREE HIGH-LEVEL MICROARRAY STATISTICAL ANALYSIS METHODS FOR DISEASE MECHANISM IDENTIFICATION</w:t>
      </w:r>
    </w:p>
    <w:p w14:paraId="6525D59C" w14:textId="77777777" w:rsidR="006B6D39" w:rsidRPr="00077BBE" w:rsidRDefault="558BDF0D" w:rsidP="558BDF0D">
      <w:pPr>
        <w:jc w:val="center"/>
        <w:rPr>
          <w:rFonts w:ascii="Calibri" w:eastAsia="Calibri" w:hAnsi="Calibri" w:cs="Calibri"/>
          <w:b/>
          <w:bCs/>
        </w:rPr>
      </w:pPr>
      <w:r w:rsidRPr="558BDF0D">
        <w:rPr>
          <w:rFonts w:ascii="Calibri" w:eastAsia="Calibri" w:hAnsi="Calibri" w:cs="Calibri"/>
          <w:b/>
          <w:bCs/>
        </w:rPr>
        <w:t>D.R. Schultz</w:t>
      </w:r>
      <w:r w:rsidRPr="558BDF0D">
        <w:rPr>
          <w:rFonts w:ascii="Calibri" w:eastAsia="Calibri" w:hAnsi="Calibri" w:cs="Calibri"/>
          <w:b/>
          <w:bCs/>
          <w:vertAlign w:val="superscript"/>
        </w:rPr>
        <w:t>1,2</w:t>
      </w:r>
      <w:r w:rsidRPr="558BDF0D">
        <w:rPr>
          <w:rFonts w:ascii="Calibri" w:eastAsia="Calibri" w:hAnsi="Calibri" w:cs="Calibri"/>
          <w:b/>
          <w:bCs/>
        </w:rPr>
        <w:t xml:space="preserve">*, I.S. Frydas </w:t>
      </w:r>
      <w:r w:rsidRPr="558BDF0D">
        <w:rPr>
          <w:rFonts w:ascii="Calibri" w:eastAsia="Calibri" w:hAnsi="Calibri" w:cs="Calibri"/>
          <w:b/>
          <w:bCs/>
          <w:vertAlign w:val="superscript"/>
        </w:rPr>
        <w:t>1,2</w:t>
      </w:r>
      <w:r w:rsidRPr="558BDF0D">
        <w:rPr>
          <w:rFonts w:ascii="Calibri" w:eastAsia="Calibri" w:hAnsi="Calibri" w:cs="Calibri"/>
          <w:b/>
          <w:bCs/>
        </w:rPr>
        <w:t>, S. Karakitsios</w:t>
      </w:r>
      <w:r w:rsidRPr="558BDF0D">
        <w:rPr>
          <w:rFonts w:ascii="Calibri" w:eastAsia="Calibri" w:hAnsi="Calibri" w:cs="Calibri"/>
          <w:b/>
          <w:bCs/>
          <w:vertAlign w:val="superscript"/>
        </w:rPr>
        <w:t>1,2,4</w:t>
      </w:r>
      <w:r w:rsidRPr="558BDF0D">
        <w:rPr>
          <w:rFonts w:ascii="Calibri" w:eastAsia="Calibri" w:hAnsi="Calibri" w:cs="Calibri"/>
          <w:b/>
          <w:bCs/>
        </w:rPr>
        <w:t>, D.A. Sarigiannis</w:t>
      </w:r>
      <w:r w:rsidRPr="558BDF0D">
        <w:rPr>
          <w:rFonts w:ascii="Calibri" w:eastAsia="Calibri" w:hAnsi="Calibri" w:cs="Calibri"/>
          <w:b/>
          <w:bCs/>
          <w:vertAlign w:val="superscript"/>
        </w:rPr>
        <w:t>1,2,3,4</w:t>
      </w:r>
    </w:p>
    <w:p w14:paraId="7780B4C2" w14:textId="77777777" w:rsidR="006B6D39" w:rsidRPr="00077BBE" w:rsidRDefault="558BDF0D" w:rsidP="558BDF0D">
      <w:pPr>
        <w:spacing w:after="0" w:line="240" w:lineRule="auto"/>
        <w:jc w:val="center"/>
        <w:rPr>
          <w:rFonts w:eastAsiaTheme="minorEastAsia"/>
        </w:rPr>
      </w:pPr>
      <w:r w:rsidRPr="558BDF0D">
        <w:rPr>
          <w:rFonts w:eastAsiaTheme="minorEastAsia"/>
          <w:vertAlign w:val="superscript"/>
        </w:rPr>
        <w:t>1</w:t>
      </w:r>
      <w:r w:rsidRPr="558BDF0D">
        <w:rPr>
          <w:rFonts w:eastAsiaTheme="minorEastAsia"/>
        </w:rPr>
        <w:t xml:space="preserve"> HERACLES Health and Exposome Research Centre, Centre for Interdisciplinary Research and Innovation, Aristotle University of Thessaloniki, Greece</w:t>
      </w:r>
    </w:p>
    <w:p w14:paraId="1FA376AE" w14:textId="77777777" w:rsidR="006B6D39" w:rsidRPr="00077BBE" w:rsidRDefault="558BDF0D" w:rsidP="558BDF0D">
      <w:pPr>
        <w:spacing w:after="0" w:line="240" w:lineRule="auto"/>
        <w:jc w:val="center"/>
        <w:rPr>
          <w:rFonts w:eastAsiaTheme="minorEastAsia"/>
        </w:rPr>
      </w:pPr>
      <w:r w:rsidRPr="558BDF0D">
        <w:rPr>
          <w:rFonts w:eastAsiaTheme="minorEastAsia"/>
          <w:vertAlign w:val="superscript"/>
        </w:rPr>
        <w:t>2</w:t>
      </w:r>
      <w:r w:rsidRPr="558BDF0D">
        <w:rPr>
          <w:rFonts w:eastAsiaTheme="minorEastAsia"/>
        </w:rPr>
        <w:t xml:space="preserve"> Environmental Engineering Laboratory, Department of Chemical Engineering, Aristotle University of Thessaloniki, Greece</w:t>
      </w:r>
    </w:p>
    <w:p w14:paraId="5D0CC2F5" w14:textId="77777777" w:rsidR="006B6D39" w:rsidRPr="00077BBE" w:rsidRDefault="558BDF0D" w:rsidP="558BDF0D">
      <w:pPr>
        <w:spacing w:after="0" w:line="240" w:lineRule="auto"/>
        <w:jc w:val="center"/>
        <w:rPr>
          <w:rFonts w:eastAsiaTheme="minorEastAsia"/>
        </w:rPr>
      </w:pPr>
      <w:r w:rsidRPr="558BDF0D">
        <w:rPr>
          <w:rFonts w:eastAsiaTheme="minorEastAsia"/>
          <w:vertAlign w:val="superscript"/>
        </w:rPr>
        <w:t>3</w:t>
      </w:r>
      <w:r w:rsidRPr="558BDF0D">
        <w:rPr>
          <w:rFonts w:eastAsiaTheme="minorEastAsia"/>
        </w:rPr>
        <w:t xml:space="preserve"> Environmental Health Engineering, School for Advanced Study IUSS, Pavia, Italy</w:t>
      </w:r>
    </w:p>
    <w:p w14:paraId="4DA0115C" w14:textId="77777777" w:rsidR="006B6D39" w:rsidRPr="00077BBE" w:rsidRDefault="558BDF0D" w:rsidP="558BDF0D">
      <w:pPr>
        <w:spacing w:after="0" w:line="240" w:lineRule="auto"/>
        <w:jc w:val="center"/>
        <w:rPr>
          <w:rFonts w:eastAsiaTheme="minorEastAsia"/>
        </w:rPr>
      </w:pPr>
      <w:r w:rsidRPr="558BDF0D">
        <w:rPr>
          <w:rFonts w:eastAsiaTheme="minorEastAsia"/>
          <w:vertAlign w:val="superscript"/>
        </w:rPr>
        <w:t>4</w:t>
      </w:r>
      <w:r w:rsidRPr="558BDF0D">
        <w:rPr>
          <w:rFonts w:eastAsiaTheme="minorEastAsia"/>
        </w:rPr>
        <w:t xml:space="preserve"> ENVE.X, Thessaloniki, Greece   https://enve-x.com/</w:t>
      </w:r>
    </w:p>
    <w:p w14:paraId="10C6E6E4" w14:textId="77777777" w:rsidR="006B6D39" w:rsidRPr="00480982" w:rsidRDefault="558BDF0D" w:rsidP="558BDF0D">
      <w:pPr>
        <w:pStyle w:val="ListParagraph"/>
        <w:spacing w:before="0" w:line="240" w:lineRule="auto"/>
        <w:ind w:left="0"/>
        <w:contextualSpacing w:val="0"/>
        <w:jc w:val="center"/>
        <w:rPr>
          <w:rStyle w:val="hps"/>
          <w:rFonts w:eastAsiaTheme="minorEastAsia"/>
          <w:b/>
          <w:bCs/>
          <w:sz w:val="24"/>
          <w:szCs w:val="24"/>
          <w:lang w:val="en-US"/>
        </w:rPr>
      </w:pPr>
      <w:r w:rsidRPr="558BDF0D">
        <w:rPr>
          <w:rStyle w:val="Hyperlink"/>
          <w:rFonts w:eastAsiaTheme="minorEastAsia"/>
          <w:i/>
          <w:iCs/>
          <w:sz w:val="24"/>
          <w:szCs w:val="24"/>
          <w:lang w:val="en-US"/>
        </w:rPr>
        <w:t>* daynaraeschultz@gmail.com</w:t>
      </w:r>
    </w:p>
    <w:p w14:paraId="399484F5" w14:textId="77777777" w:rsidR="006B6D39" w:rsidRPr="0026009A" w:rsidRDefault="006B6D39" w:rsidP="006B6D39">
      <w:pPr>
        <w:jc w:val="center"/>
        <w:rPr>
          <w:rFonts w:cstheme="minorHAnsi"/>
          <w:bCs/>
          <w:szCs w:val="24"/>
        </w:rPr>
      </w:pPr>
    </w:p>
    <w:p w14:paraId="11BD7376" w14:textId="77777777" w:rsidR="006B6D39" w:rsidRPr="00077BBE" w:rsidRDefault="3E274BA2" w:rsidP="558BDF0D">
      <w:pPr>
        <w:rPr>
          <w:rFonts w:ascii="Calibri" w:eastAsia="Calibri" w:hAnsi="Calibri" w:cs="Calibri"/>
          <w:b/>
          <w:bCs/>
        </w:rPr>
      </w:pPr>
      <w:r w:rsidRPr="3E274BA2">
        <w:rPr>
          <w:rFonts w:ascii="Calibri" w:eastAsia="Calibri" w:hAnsi="Calibri" w:cs="Calibri"/>
          <w:b/>
          <w:bCs/>
        </w:rPr>
        <w:t>ABSTRACT</w:t>
      </w:r>
    </w:p>
    <w:p w14:paraId="2C034225" w14:textId="77777777" w:rsidR="006B6D39" w:rsidRPr="0026009A" w:rsidRDefault="3E274BA2" w:rsidP="00B01D15">
      <w:pPr>
        <w:spacing w:line="240" w:lineRule="auto"/>
        <w:jc w:val="both"/>
        <w:rPr>
          <w:rFonts w:ascii="Calibri" w:eastAsia="Calibri" w:hAnsi="Calibri" w:cs="Calibri"/>
        </w:rPr>
      </w:pPr>
      <w:r w:rsidRPr="3E274BA2">
        <w:rPr>
          <w:rFonts w:ascii="Calibri" w:eastAsia="Calibri" w:hAnsi="Calibri" w:cs="Calibri"/>
        </w:rPr>
        <w:t xml:space="preserve">Transcriptomics is a powerful tool in disease discovery that has undergone large advancements in recent years; available technologies allow for the generation of datasets with tens of thousands of outputs. This requires large computational power and advanced statistical analysis for datasets. Unfortunately, there is debate over the ideal methods to process raw data, </w:t>
      </w:r>
      <w:proofErr w:type="spellStart"/>
      <w:r w:rsidRPr="3E274BA2">
        <w:rPr>
          <w:rFonts w:ascii="Calibri" w:eastAsia="Calibri" w:hAnsi="Calibri" w:cs="Calibri"/>
        </w:rPr>
        <w:t>analyze</w:t>
      </w:r>
      <w:proofErr w:type="spellEnd"/>
      <w:r w:rsidRPr="3E274BA2">
        <w:rPr>
          <w:rFonts w:ascii="Calibri" w:eastAsia="Calibri" w:hAnsi="Calibri" w:cs="Calibri"/>
        </w:rPr>
        <w:t xml:space="preserve"> and identify differentially expressed genes (DEGs), and generate robust results while limiting Type I and Type II errors.</w:t>
      </w:r>
    </w:p>
    <w:p w14:paraId="140D5BD6" w14:textId="77777777" w:rsidR="006B6D39" w:rsidRPr="0026009A" w:rsidRDefault="3E274BA2" w:rsidP="00B01D15">
      <w:pPr>
        <w:spacing w:line="240" w:lineRule="auto"/>
        <w:jc w:val="both"/>
        <w:rPr>
          <w:rFonts w:ascii="Calibri" w:eastAsia="Calibri" w:hAnsi="Calibri" w:cs="Calibri"/>
        </w:rPr>
      </w:pPr>
      <w:r w:rsidRPr="3E274BA2">
        <w:rPr>
          <w:rFonts w:ascii="Calibri" w:eastAsia="Calibri" w:hAnsi="Calibri" w:cs="Calibri"/>
        </w:rPr>
        <w:t xml:space="preserve">We compared three statistical method pipelines using Linear Models for Microarray Data (LIMMA; R software), moderated t-test (Agilent </w:t>
      </w:r>
      <w:proofErr w:type="spellStart"/>
      <w:r w:rsidRPr="3E274BA2">
        <w:rPr>
          <w:rFonts w:ascii="Calibri" w:eastAsia="Calibri" w:hAnsi="Calibri" w:cs="Calibri"/>
        </w:rPr>
        <w:t>GeneSpring</w:t>
      </w:r>
      <w:proofErr w:type="spellEnd"/>
      <w:r w:rsidRPr="3E274BA2">
        <w:rPr>
          <w:rFonts w:ascii="Calibri" w:eastAsia="Calibri" w:hAnsi="Calibri" w:cs="Calibri"/>
        </w:rPr>
        <w:t xml:space="preserve">™ software), and Significant Analysis for Microarray (SAM; R software) for DEG discovery and functionality comparisons. R is an open-source software that allows extensive control of statistical pipelines and parameters and the ability to handle complex statistical designs, although it requires basic knowledge of programming languages. </w:t>
      </w:r>
      <w:proofErr w:type="spellStart"/>
      <w:r w:rsidRPr="3E274BA2">
        <w:rPr>
          <w:rFonts w:ascii="Calibri" w:eastAsia="Calibri" w:hAnsi="Calibri" w:cs="Calibri"/>
        </w:rPr>
        <w:t>GeneSpring</w:t>
      </w:r>
      <w:proofErr w:type="spellEnd"/>
      <w:r w:rsidRPr="3E274BA2">
        <w:rPr>
          <w:rFonts w:ascii="Calibri" w:eastAsia="Calibri" w:hAnsi="Calibri" w:cs="Calibri"/>
        </w:rPr>
        <w:t xml:space="preserve">™ is a commercially </w:t>
      </w:r>
      <w:bookmarkStart w:id="0" w:name="_GoBack"/>
      <w:bookmarkEnd w:id="0"/>
      <w:r w:rsidRPr="3E274BA2">
        <w:rPr>
          <w:rFonts w:ascii="Calibri" w:eastAsia="Calibri" w:hAnsi="Calibri" w:cs="Calibri"/>
        </w:rPr>
        <w:t xml:space="preserve">available, user-friendly analysis software that is efficient for basic statistical analyses with the benefit of freely available technical support. </w:t>
      </w:r>
    </w:p>
    <w:p w14:paraId="5F88E4C7" w14:textId="77777777" w:rsidR="006B6D39" w:rsidRPr="0026009A" w:rsidRDefault="3E274BA2" w:rsidP="00B01D15">
      <w:pPr>
        <w:spacing w:line="240" w:lineRule="auto"/>
        <w:jc w:val="both"/>
        <w:rPr>
          <w:rFonts w:ascii="Calibri" w:eastAsia="Calibri" w:hAnsi="Calibri" w:cs="Calibri"/>
        </w:rPr>
      </w:pPr>
      <w:r w:rsidRPr="3E274BA2">
        <w:rPr>
          <w:rFonts w:ascii="Calibri" w:eastAsia="Calibri" w:hAnsi="Calibri" w:cs="Calibri"/>
        </w:rPr>
        <w:t xml:space="preserve">We </w:t>
      </w:r>
      <w:proofErr w:type="spellStart"/>
      <w:r w:rsidRPr="3E274BA2">
        <w:rPr>
          <w:rFonts w:ascii="Calibri" w:eastAsia="Calibri" w:hAnsi="Calibri" w:cs="Calibri"/>
        </w:rPr>
        <w:t>analyzed</w:t>
      </w:r>
      <w:proofErr w:type="spellEnd"/>
      <w:r w:rsidRPr="3E274BA2">
        <w:rPr>
          <w:rFonts w:ascii="Calibri" w:eastAsia="Calibri" w:hAnsi="Calibri" w:cs="Calibri"/>
        </w:rPr>
        <w:t xml:space="preserve"> Agilent™ microarray data generated from three real datasets from experiments from within the lab group (One-Color, </w:t>
      </w:r>
      <w:proofErr w:type="spellStart"/>
      <w:r w:rsidRPr="3E274BA2">
        <w:rPr>
          <w:rFonts w:ascii="Calibri" w:eastAsia="Calibri" w:hAnsi="Calibri" w:cs="Calibri"/>
        </w:rPr>
        <w:t>SurePrint</w:t>
      </w:r>
      <w:proofErr w:type="spellEnd"/>
      <w:r w:rsidRPr="3E274BA2">
        <w:rPr>
          <w:rFonts w:ascii="Calibri" w:eastAsia="Calibri" w:hAnsi="Calibri" w:cs="Calibri"/>
        </w:rPr>
        <w:t xml:space="preserve"> Zebrafish Gene Expression v3 4 x 44k Microarray, design ID: 026437) that aim to detect the molecular mechanisms involved in metabolic disorders associated with environmental contaminants. 3-day post fertilization (</w:t>
      </w:r>
      <w:proofErr w:type="spellStart"/>
      <w:r w:rsidRPr="3E274BA2">
        <w:rPr>
          <w:rFonts w:ascii="Calibri" w:eastAsia="Calibri" w:hAnsi="Calibri" w:cs="Calibri"/>
        </w:rPr>
        <w:t>dpf</w:t>
      </w:r>
      <w:proofErr w:type="spellEnd"/>
      <w:r w:rsidRPr="3E274BA2">
        <w:rPr>
          <w:rFonts w:ascii="Calibri" w:eastAsia="Calibri" w:hAnsi="Calibri" w:cs="Calibri"/>
        </w:rPr>
        <w:t xml:space="preserve">) zebrafish larvae (n = ~17 per replicate, 4 replicates) were exposed for 48 hours (sampled at 5-dpf) to two concentrations of the plasticizer bis(2-ethylhexyl) phthalate (DEHP; 25 </w:t>
      </w:r>
      <w:proofErr w:type="spellStart"/>
      <w:r w:rsidRPr="3E274BA2">
        <w:rPr>
          <w:rFonts w:ascii="Calibri" w:eastAsia="Calibri" w:hAnsi="Calibri" w:cs="Calibri"/>
        </w:rPr>
        <w:t>nM</w:t>
      </w:r>
      <w:proofErr w:type="spellEnd"/>
      <w:r w:rsidRPr="3E274BA2">
        <w:rPr>
          <w:rFonts w:ascii="Calibri" w:eastAsia="Calibri" w:hAnsi="Calibri" w:cs="Calibri"/>
        </w:rPr>
        <w:t xml:space="preserve"> and10 µM), positive control (amiodarone; 1 µM), and a carrier control [dimethyl sulfoxide (DMSO); 0.1%]. Raw data was exported and </w:t>
      </w:r>
      <w:proofErr w:type="spellStart"/>
      <w:r w:rsidRPr="3E274BA2">
        <w:rPr>
          <w:rFonts w:ascii="Calibri" w:eastAsia="Calibri" w:hAnsi="Calibri" w:cs="Calibri"/>
        </w:rPr>
        <w:t>analyzed</w:t>
      </w:r>
      <w:proofErr w:type="spellEnd"/>
      <w:r w:rsidRPr="3E274BA2">
        <w:rPr>
          <w:rFonts w:ascii="Calibri" w:eastAsia="Calibri" w:hAnsi="Calibri" w:cs="Calibri"/>
        </w:rPr>
        <w:t xml:space="preserve"> using the above methods. </w:t>
      </w:r>
    </w:p>
    <w:p w14:paraId="21BD7D70" w14:textId="77777777" w:rsidR="006B6D39" w:rsidRDefault="3E274BA2" w:rsidP="00B01D15">
      <w:pPr>
        <w:spacing w:line="240" w:lineRule="auto"/>
        <w:jc w:val="both"/>
        <w:rPr>
          <w:rFonts w:ascii="Calibri" w:eastAsia="Calibri" w:hAnsi="Calibri" w:cs="Calibri"/>
        </w:rPr>
      </w:pPr>
      <w:r w:rsidRPr="3E274BA2">
        <w:rPr>
          <w:rFonts w:ascii="Calibri" w:eastAsia="Calibri" w:hAnsi="Calibri" w:cs="Calibri"/>
        </w:rPr>
        <w:t>Results found that there was high accordance between LIMMA- and SAM-detected DEGs, which suggests these two tests are better than MTT in detecting true positives, which is in accordance with previous reports (</w:t>
      </w:r>
      <w:proofErr w:type="spellStart"/>
      <w:r w:rsidRPr="3E274BA2">
        <w:rPr>
          <w:rFonts w:ascii="Calibri" w:eastAsia="Calibri" w:hAnsi="Calibri" w:cs="Calibri"/>
        </w:rPr>
        <w:t>Chrominski</w:t>
      </w:r>
      <w:proofErr w:type="spellEnd"/>
      <w:r w:rsidRPr="3E274BA2">
        <w:rPr>
          <w:rFonts w:ascii="Calibri" w:eastAsia="Calibri" w:hAnsi="Calibri" w:cs="Calibri"/>
        </w:rPr>
        <w:t xml:space="preserve"> and </w:t>
      </w:r>
      <w:proofErr w:type="spellStart"/>
      <w:r w:rsidRPr="3E274BA2">
        <w:rPr>
          <w:rFonts w:ascii="Calibri" w:eastAsia="Calibri" w:hAnsi="Calibri" w:cs="Calibri"/>
        </w:rPr>
        <w:t>Tkacz</w:t>
      </w:r>
      <w:proofErr w:type="spellEnd"/>
      <w:r w:rsidRPr="3E274BA2">
        <w:rPr>
          <w:rFonts w:ascii="Calibri" w:eastAsia="Calibri" w:hAnsi="Calibri" w:cs="Calibri"/>
        </w:rPr>
        <w:t xml:space="preserve"> 2015). However, combining multiple methods may improve reliability of results. Overall, this work is instrumental in future efforts to generate statistically robust and reliable computational models and systems biology for the prediction of a host of metabolic diseases. </w:t>
      </w:r>
    </w:p>
    <w:p w14:paraId="7D81EEAD" w14:textId="77777777" w:rsidR="006B6D39" w:rsidRPr="0026009A" w:rsidRDefault="006B6D39" w:rsidP="558BDF0D">
      <w:pPr>
        <w:rPr>
          <w:rFonts w:ascii="Calibri" w:eastAsia="Calibri" w:hAnsi="Calibri" w:cs="Calibri"/>
        </w:rPr>
      </w:pPr>
    </w:p>
    <w:p w14:paraId="7CAE5D80" w14:textId="77777777" w:rsidR="006B6D39" w:rsidRDefault="3E274BA2" w:rsidP="558BDF0D">
      <w:pPr>
        <w:rPr>
          <w:rFonts w:ascii="Calibri" w:eastAsia="Calibri" w:hAnsi="Calibri" w:cs="Calibri"/>
          <w:sz w:val="20"/>
          <w:szCs w:val="20"/>
        </w:rPr>
      </w:pPr>
      <w:r w:rsidRPr="3E274BA2">
        <w:rPr>
          <w:rFonts w:ascii="Calibri" w:eastAsia="Calibri" w:hAnsi="Calibri" w:cs="Calibri"/>
          <w:b/>
          <w:bCs/>
          <w:sz w:val="20"/>
          <w:szCs w:val="20"/>
        </w:rPr>
        <w:t>KEYWORDS</w:t>
      </w:r>
      <w:r w:rsidRPr="3E274BA2">
        <w:rPr>
          <w:rFonts w:ascii="Calibri" w:eastAsia="Calibri" w:hAnsi="Calibri" w:cs="Calibri"/>
          <w:sz w:val="20"/>
          <w:szCs w:val="20"/>
        </w:rPr>
        <w:t>: Systems biology, statistical analysis, computational biology, data science</w:t>
      </w:r>
    </w:p>
    <w:p w14:paraId="4846050A" w14:textId="77777777" w:rsidR="006B6D39" w:rsidRPr="002C19D8" w:rsidRDefault="3E274BA2" w:rsidP="3E274BA2">
      <w:pPr>
        <w:rPr>
          <w:rFonts w:ascii="Calibri" w:eastAsia="Calibri" w:hAnsi="Calibri" w:cs="Calibri"/>
          <w:b/>
          <w:bCs/>
          <w:sz w:val="20"/>
          <w:szCs w:val="20"/>
        </w:rPr>
      </w:pPr>
      <w:r w:rsidRPr="3E274BA2">
        <w:rPr>
          <w:rFonts w:ascii="Calibri" w:eastAsia="Calibri" w:hAnsi="Calibri" w:cs="Calibri"/>
          <w:b/>
          <w:bCs/>
          <w:sz w:val="20"/>
          <w:szCs w:val="20"/>
        </w:rPr>
        <w:lastRenderedPageBreak/>
        <w:t>REFERENCES</w:t>
      </w:r>
    </w:p>
    <w:p w14:paraId="413C2F1E" w14:textId="77777777" w:rsidR="006B6D39" w:rsidRPr="00BF1597" w:rsidRDefault="3E274BA2" w:rsidP="558BDF0D">
      <w:pPr>
        <w:rPr>
          <w:rFonts w:ascii="Calibri" w:eastAsia="Calibri" w:hAnsi="Calibri" w:cs="Calibri"/>
          <w:sz w:val="20"/>
          <w:szCs w:val="20"/>
        </w:rPr>
      </w:pPr>
      <w:r w:rsidRPr="3E274BA2">
        <w:rPr>
          <w:rFonts w:ascii="Calibri" w:eastAsia="Calibri" w:hAnsi="Calibri" w:cs="Calibri"/>
          <w:sz w:val="20"/>
          <w:szCs w:val="20"/>
        </w:rPr>
        <w:t xml:space="preserve">[1] Bandyopadhyay, S., Mallik, S., &amp; Mukhopadhyay, A. (2014). A Survey and Comparative Study of Statistical Tests for Identifying Differential Expression from Microarray Data. IEEE/ACM Transactions on Computational Biology and Bioinformatics, 11(1), 20. </w:t>
      </w:r>
      <w:hyperlink r:id="rId8">
        <w:r w:rsidRPr="3E274BA2">
          <w:rPr>
            <w:rStyle w:val="Hyperlink"/>
            <w:rFonts w:ascii="Calibri" w:eastAsia="Calibri" w:hAnsi="Calibri" w:cs="Calibri"/>
            <w:sz w:val="20"/>
            <w:szCs w:val="20"/>
          </w:rPr>
          <w:t>https://doi.org/10.1109/TCBB.2013.147</w:t>
        </w:r>
      </w:hyperlink>
    </w:p>
    <w:p w14:paraId="3CE86D9C" w14:textId="77777777" w:rsidR="006B6D39" w:rsidRPr="00BF1597" w:rsidRDefault="3E274BA2" w:rsidP="558BDF0D">
      <w:pPr>
        <w:rPr>
          <w:rFonts w:ascii="Calibri" w:eastAsia="Calibri" w:hAnsi="Calibri" w:cs="Calibri"/>
          <w:sz w:val="20"/>
          <w:szCs w:val="20"/>
        </w:rPr>
      </w:pPr>
      <w:r w:rsidRPr="3E274BA2">
        <w:rPr>
          <w:rFonts w:ascii="Calibri" w:eastAsia="Calibri" w:hAnsi="Calibri" w:cs="Calibri"/>
          <w:sz w:val="20"/>
          <w:szCs w:val="20"/>
        </w:rPr>
        <w:t xml:space="preserve">[2] Dudoit, S., Shaffer, J. P., &amp; Boldrick, J. C. (2003). Multiple Hypothesis Testing in Microarray Experiments. Https://Doi.Org/10.1214/Ss/1056397487, 18(1), 71–103. </w:t>
      </w:r>
      <w:hyperlink r:id="rId9">
        <w:r w:rsidRPr="3E274BA2">
          <w:rPr>
            <w:rStyle w:val="Hyperlink"/>
            <w:rFonts w:ascii="Calibri" w:eastAsia="Calibri" w:hAnsi="Calibri" w:cs="Calibri"/>
            <w:sz w:val="20"/>
            <w:szCs w:val="20"/>
          </w:rPr>
          <w:t>https://doi.org/10.1214/SS/1056397487</w:t>
        </w:r>
      </w:hyperlink>
    </w:p>
    <w:p w14:paraId="3BC1E019" w14:textId="77777777" w:rsidR="006B6D39" w:rsidRPr="00BF1597" w:rsidRDefault="3E274BA2" w:rsidP="558BDF0D">
      <w:pPr>
        <w:rPr>
          <w:rFonts w:ascii="Calibri" w:eastAsia="Calibri" w:hAnsi="Calibri" w:cs="Calibri"/>
          <w:sz w:val="20"/>
          <w:szCs w:val="20"/>
        </w:rPr>
      </w:pPr>
      <w:r w:rsidRPr="3E274BA2">
        <w:rPr>
          <w:rFonts w:ascii="Calibri" w:eastAsia="Calibri" w:hAnsi="Calibri" w:cs="Calibri"/>
          <w:sz w:val="20"/>
          <w:szCs w:val="20"/>
        </w:rPr>
        <w:t xml:space="preserve">[3] Pandey A, Priyanka H. Tripathi, Ankita H. Tripathi, Satish Chandra Pandey, Saurabh Gangola. 2019. Chapter 2 - Omics technology to study bioremediation and respective enzymes. Academic Press, Pages 23-43, https://doi.org/10.1016/B978-0-12-818307-6.00002-0. </w:t>
      </w:r>
    </w:p>
    <w:p w14:paraId="17BF048A" w14:textId="77777777" w:rsidR="006B6D39" w:rsidRPr="00BF1597" w:rsidRDefault="3E274BA2" w:rsidP="558BDF0D">
      <w:pPr>
        <w:rPr>
          <w:rFonts w:ascii="Calibri" w:eastAsia="Calibri" w:hAnsi="Calibri" w:cs="Calibri"/>
          <w:sz w:val="20"/>
          <w:szCs w:val="20"/>
        </w:rPr>
      </w:pPr>
      <w:r w:rsidRPr="3E274BA2">
        <w:rPr>
          <w:rFonts w:ascii="Calibri" w:eastAsia="Calibri" w:hAnsi="Calibri" w:cs="Calibri"/>
          <w:sz w:val="20"/>
          <w:szCs w:val="20"/>
        </w:rPr>
        <w:t xml:space="preserve">[4] Smyth GK (2004) "Linear Models and Empirical Bayes Methods for Assessing Differential Expression in Microarray Experiments," Statistical Applications in Genetics and Molecular Biology: Vol. 3: </w:t>
      </w:r>
      <w:proofErr w:type="spellStart"/>
      <w:r w:rsidRPr="3E274BA2">
        <w:rPr>
          <w:rFonts w:ascii="Calibri" w:eastAsia="Calibri" w:hAnsi="Calibri" w:cs="Calibri"/>
          <w:sz w:val="20"/>
          <w:szCs w:val="20"/>
        </w:rPr>
        <w:t>Iss</w:t>
      </w:r>
      <w:proofErr w:type="spellEnd"/>
      <w:r w:rsidRPr="3E274BA2">
        <w:rPr>
          <w:rFonts w:ascii="Calibri" w:eastAsia="Calibri" w:hAnsi="Calibri" w:cs="Calibri"/>
          <w:sz w:val="20"/>
          <w:szCs w:val="20"/>
        </w:rPr>
        <w:t>. 1, Article 3. (Pertains to the Moderated T-Test.)</w:t>
      </w:r>
    </w:p>
    <w:p w14:paraId="161DD35D" w14:textId="77777777" w:rsidR="006B6D39" w:rsidRPr="00BF1597" w:rsidRDefault="3E274BA2" w:rsidP="558BDF0D">
      <w:pPr>
        <w:rPr>
          <w:rFonts w:ascii="Calibri" w:eastAsia="Calibri" w:hAnsi="Calibri" w:cs="Calibri"/>
          <w:sz w:val="20"/>
          <w:szCs w:val="20"/>
        </w:rPr>
      </w:pPr>
      <w:r w:rsidRPr="3E274BA2">
        <w:rPr>
          <w:rFonts w:ascii="Calibri" w:eastAsia="Calibri" w:hAnsi="Calibri" w:cs="Calibri"/>
          <w:sz w:val="20"/>
          <w:szCs w:val="20"/>
        </w:rPr>
        <w:t>[5] Tan, S., Begley, P., Mullard, G. et al. Introduction to metabolomics and its applications in ophthalmology. Eye 30, 773–783 (2016). https://doi.org/10.1038/eye.2016.37.</w:t>
      </w:r>
    </w:p>
    <w:p w14:paraId="1142573A" w14:textId="77777777" w:rsidR="006B6D39" w:rsidRDefault="006B6D39" w:rsidP="558BDF0D">
      <w:pPr>
        <w:rPr>
          <w:rFonts w:ascii="Calibri" w:eastAsia="Calibri" w:hAnsi="Calibri" w:cs="Calibri"/>
        </w:rPr>
      </w:pPr>
    </w:p>
    <w:p w14:paraId="1D7BAB28" w14:textId="7CBA440C" w:rsidR="004F7B38" w:rsidRPr="00176295" w:rsidRDefault="004F7B38" w:rsidP="558BDF0D">
      <w:pPr>
        <w:spacing w:after="20" w:line="240" w:lineRule="auto"/>
        <w:jc w:val="both"/>
        <w:rPr>
          <w:rFonts w:ascii="Calibri" w:eastAsia="Calibri" w:hAnsi="Calibri" w:cs="Calibri"/>
          <w:b/>
          <w:bCs/>
        </w:rPr>
      </w:pPr>
    </w:p>
    <w:sectPr w:rsidR="004F7B38" w:rsidRPr="00176295" w:rsidSect="000323E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AE211" w14:textId="77777777" w:rsidR="00EE0794" w:rsidRDefault="00EE0794" w:rsidP="00B10FCD">
      <w:pPr>
        <w:spacing w:after="0" w:line="240" w:lineRule="auto"/>
      </w:pPr>
      <w:r>
        <w:separator/>
      </w:r>
    </w:p>
  </w:endnote>
  <w:endnote w:type="continuationSeparator" w:id="0">
    <w:p w14:paraId="63496BB2" w14:textId="77777777" w:rsidR="00EE0794" w:rsidRDefault="00EE0794"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00E050DF" w:rsidRPr="00E050DF">
          <w:rPr>
            <w:b/>
            <w:bCs/>
            <w:noProof/>
            <w:sz w:val="18"/>
            <w:szCs w:val="16"/>
            <w:lang w:val="el-GR"/>
          </w:rPr>
          <w:t>1</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797FA" w14:textId="77777777" w:rsidR="00EE0794" w:rsidRDefault="00EE0794" w:rsidP="00B10FCD">
      <w:pPr>
        <w:spacing w:after="0" w:line="240" w:lineRule="auto"/>
      </w:pPr>
      <w:r>
        <w:separator/>
      </w:r>
    </w:p>
  </w:footnote>
  <w:footnote w:type="continuationSeparator" w:id="0">
    <w:p w14:paraId="7A2D6D0B" w14:textId="77777777" w:rsidR="00EE0794" w:rsidRDefault="00EE0794"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0sjQ3NzQwNDE0MTdR0lEKTi0uzszPAykwrgUAykv4lSwAAAA="/>
  </w:docVars>
  <w:rsids>
    <w:rsidRoot w:val="002937B1"/>
    <w:rsid w:val="00055CAD"/>
    <w:rsid w:val="000C3B9B"/>
    <w:rsid w:val="000E7582"/>
    <w:rsid w:val="001327BE"/>
    <w:rsid w:val="00134726"/>
    <w:rsid w:val="00137B0D"/>
    <w:rsid w:val="00176295"/>
    <w:rsid w:val="00257888"/>
    <w:rsid w:val="002607CE"/>
    <w:rsid w:val="0027478C"/>
    <w:rsid w:val="002937B1"/>
    <w:rsid w:val="002938E7"/>
    <w:rsid w:val="002B13CB"/>
    <w:rsid w:val="00380BDE"/>
    <w:rsid w:val="003F0560"/>
    <w:rsid w:val="003F102B"/>
    <w:rsid w:val="00407386"/>
    <w:rsid w:val="00480982"/>
    <w:rsid w:val="004C2490"/>
    <w:rsid w:val="004F7B38"/>
    <w:rsid w:val="005A4565"/>
    <w:rsid w:val="00621C7B"/>
    <w:rsid w:val="00655B78"/>
    <w:rsid w:val="00670DAB"/>
    <w:rsid w:val="006A44A4"/>
    <w:rsid w:val="006B6D39"/>
    <w:rsid w:val="00705DF0"/>
    <w:rsid w:val="00740701"/>
    <w:rsid w:val="00756D04"/>
    <w:rsid w:val="0075703D"/>
    <w:rsid w:val="007807C7"/>
    <w:rsid w:val="0081402C"/>
    <w:rsid w:val="008F5143"/>
    <w:rsid w:val="00910F11"/>
    <w:rsid w:val="00915963"/>
    <w:rsid w:val="00926E82"/>
    <w:rsid w:val="00935497"/>
    <w:rsid w:val="009803F2"/>
    <w:rsid w:val="00997EF7"/>
    <w:rsid w:val="009C653D"/>
    <w:rsid w:val="009E4C69"/>
    <w:rsid w:val="00A37FBF"/>
    <w:rsid w:val="00A84D47"/>
    <w:rsid w:val="00AA4FE7"/>
    <w:rsid w:val="00AB16ED"/>
    <w:rsid w:val="00AD393E"/>
    <w:rsid w:val="00AF459A"/>
    <w:rsid w:val="00B01D15"/>
    <w:rsid w:val="00B10FCD"/>
    <w:rsid w:val="00B36AC7"/>
    <w:rsid w:val="00BB51B3"/>
    <w:rsid w:val="00C04EBD"/>
    <w:rsid w:val="00C07544"/>
    <w:rsid w:val="00C55D63"/>
    <w:rsid w:val="00C82A15"/>
    <w:rsid w:val="00C84852"/>
    <w:rsid w:val="00C87A50"/>
    <w:rsid w:val="00CD2A96"/>
    <w:rsid w:val="00CF4EEC"/>
    <w:rsid w:val="00D24AEC"/>
    <w:rsid w:val="00D41C6E"/>
    <w:rsid w:val="00D678BE"/>
    <w:rsid w:val="00DA5472"/>
    <w:rsid w:val="00DE346C"/>
    <w:rsid w:val="00E050DF"/>
    <w:rsid w:val="00E31B83"/>
    <w:rsid w:val="00E35FC6"/>
    <w:rsid w:val="00E63CAC"/>
    <w:rsid w:val="00E853C3"/>
    <w:rsid w:val="00E87E35"/>
    <w:rsid w:val="00ED7AD7"/>
    <w:rsid w:val="00EE0794"/>
    <w:rsid w:val="3E274BA2"/>
    <w:rsid w:val="558BDF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paragraph" w:customStyle="1" w:styleId="1">
    <w:name w:val="Обычный1"/>
    <w:link w:val="1Char"/>
    <w:rsid w:val="00176295"/>
    <w:pPr>
      <w:pBdr>
        <w:top w:val="nil"/>
        <w:left w:val="nil"/>
        <w:bottom w:val="nil"/>
        <w:right w:val="nil"/>
        <w:between w:val="nil"/>
      </w:pBdr>
      <w:spacing w:after="0"/>
    </w:pPr>
    <w:rPr>
      <w:rFonts w:ascii="Arial" w:eastAsia="Arial" w:hAnsi="Arial" w:cs="Arial"/>
      <w:color w:val="000000"/>
      <w:lang w:val="en-US"/>
    </w:rPr>
  </w:style>
  <w:style w:type="character" w:customStyle="1" w:styleId="1Char">
    <w:name w:val="Обычный1 Char"/>
    <w:basedOn w:val="DefaultParagraphFont"/>
    <w:link w:val="1"/>
    <w:rsid w:val="00176295"/>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09/TCBB.2013.14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i.org/10.1214/SS/1056397487" TargetMode="External"/><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5C8F0695-5E48-4CFB-B615-9792FE448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3734</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user035</dc:creator>
  <cp:lastModifiedBy>EnvE</cp:lastModifiedBy>
  <cp:revision>17</cp:revision>
  <cp:lastPrinted>2016-12-14T08:08:00Z</cp:lastPrinted>
  <dcterms:created xsi:type="dcterms:W3CDTF">2022-01-07T09:32:00Z</dcterms:created>
  <dcterms:modified xsi:type="dcterms:W3CDTF">2022-02-13T08:49:00Z</dcterms:modified>
</cp:coreProperties>
</file>