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F238" w14:textId="77777777" w:rsidR="00E66124" w:rsidRPr="003B1DE6" w:rsidRDefault="08C7256C" w:rsidP="08C7256C">
      <w:pPr>
        <w:jc w:val="center"/>
        <w:rPr>
          <w:rFonts w:ascii="Calibri" w:eastAsia="Calibri" w:hAnsi="Calibri" w:cs="Calibri"/>
          <w:b/>
          <w:bCs/>
          <w:caps/>
        </w:rPr>
      </w:pPr>
      <w:r w:rsidRPr="08C7256C">
        <w:rPr>
          <w:rFonts w:ascii="Calibri" w:eastAsia="Calibri" w:hAnsi="Calibri" w:cs="Calibri"/>
          <w:b/>
          <w:bCs/>
          <w:caps/>
          <w:lang w:val="en-CA"/>
        </w:rPr>
        <w:t>A novel application of the Newcomb-Benford Law to EXPOSURE data</w:t>
      </w:r>
    </w:p>
    <w:p w14:paraId="72055AC2" w14:textId="4400DDAB" w:rsidR="00E66124" w:rsidRPr="000407B7" w:rsidRDefault="08C7256C" w:rsidP="08C7256C">
      <w:pPr>
        <w:jc w:val="center"/>
        <w:rPr>
          <w:rFonts w:ascii="Calibri" w:eastAsia="Calibri" w:hAnsi="Calibri" w:cs="Calibri"/>
          <w:sz w:val="28"/>
          <w:szCs w:val="28"/>
        </w:rPr>
      </w:pPr>
      <w:r w:rsidRPr="08C7256C">
        <w:rPr>
          <w:rFonts w:ascii="Calibri" w:eastAsia="Calibri" w:hAnsi="Calibri" w:cs="Calibri"/>
          <w:b/>
          <w:bCs/>
        </w:rPr>
        <w:t>B. Fuentes</w:t>
      </w:r>
      <w:r w:rsidRPr="08C7256C">
        <w:rPr>
          <w:rFonts w:ascii="Calibri" w:eastAsia="Calibri" w:hAnsi="Calibri" w:cs="Calibri"/>
          <w:b/>
          <w:bCs/>
          <w:vertAlign w:val="superscript"/>
        </w:rPr>
        <w:t>1</w:t>
      </w:r>
      <w:r w:rsidRPr="08C7256C">
        <w:rPr>
          <w:rFonts w:ascii="Calibri" w:eastAsia="Calibri" w:hAnsi="Calibri" w:cs="Calibri"/>
          <w:b/>
          <w:bCs/>
        </w:rPr>
        <w:t>, D. R. Schultz</w:t>
      </w:r>
      <w:r w:rsidRPr="08C7256C">
        <w:rPr>
          <w:rFonts w:ascii="Calibri" w:eastAsia="Calibri" w:hAnsi="Calibri" w:cs="Calibri"/>
          <w:b/>
          <w:bCs/>
          <w:vertAlign w:val="superscript"/>
        </w:rPr>
        <w:t>2,3</w:t>
      </w:r>
      <w:r w:rsidRPr="000407B7">
        <w:rPr>
          <w:rFonts w:ascii="Calibri" w:eastAsia="Calibri" w:hAnsi="Calibri" w:cs="Calibri"/>
          <w:b/>
          <w:bCs/>
        </w:rPr>
        <w:t>*</w:t>
      </w:r>
      <w:r w:rsidR="000407B7" w:rsidRPr="000407B7">
        <w:rPr>
          <w:rFonts w:ascii="Calibri" w:eastAsia="Calibri" w:hAnsi="Calibri" w:cs="Calibri"/>
          <w:b/>
          <w:bCs/>
        </w:rPr>
        <w:t>,</w:t>
      </w:r>
      <w:r w:rsidR="000407B7">
        <w:rPr>
          <w:rFonts w:ascii="Calibri" w:eastAsia="Calibri" w:hAnsi="Calibri" w:cs="Calibri"/>
          <w:b/>
          <w:bCs/>
          <w:vertAlign w:val="superscript"/>
        </w:rPr>
        <w:t xml:space="preserve"> </w:t>
      </w:r>
      <w:r w:rsidR="000407B7" w:rsidRPr="000407B7">
        <w:rPr>
          <w:rFonts w:ascii="Calibri" w:eastAsia="Calibri" w:hAnsi="Calibri" w:cs="Calibri"/>
          <w:b/>
          <w:bCs/>
        </w:rPr>
        <w:t>Ö. Dinçkol</w:t>
      </w:r>
      <w:r w:rsidR="000407B7" w:rsidRPr="000407B7">
        <w:rPr>
          <w:rFonts w:ascii="Calibri" w:eastAsia="Calibri" w:hAnsi="Calibri" w:cs="Calibri"/>
          <w:b/>
          <w:bCs/>
          <w:vertAlign w:val="superscript"/>
        </w:rPr>
        <w:t>4,5</w:t>
      </w:r>
      <w:r w:rsidR="000407B7" w:rsidRPr="000407B7">
        <w:rPr>
          <w:rFonts w:ascii="Calibri" w:eastAsia="Calibri" w:hAnsi="Calibri" w:cs="Calibri"/>
          <w:b/>
          <w:bCs/>
        </w:rPr>
        <w:t xml:space="preserve">, </w:t>
      </w:r>
      <w:r w:rsidR="000407B7">
        <w:rPr>
          <w:rFonts w:ascii="Calibri" w:eastAsia="Calibri" w:hAnsi="Calibri" w:cs="Calibri"/>
          <w:b/>
          <w:bCs/>
        </w:rPr>
        <w:t>S. Karakitsios</w:t>
      </w:r>
      <w:r w:rsidR="000407B7">
        <w:rPr>
          <w:rFonts w:ascii="Calibri" w:eastAsia="Calibri" w:hAnsi="Calibri" w:cs="Calibri"/>
          <w:b/>
          <w:bCs/>
          <w:vertAlign w:val="superscript"/>
        </w:rPr>
        <w:t>2,3,7</w:t>
      </w:r>
      <w:r w:rsidR="000407B7">
        <w:rPr>
          <w:rFonts w:ascii="Calibri" w:eastAsia="Calibri" w:hAnsi="Calibri" w:cs="Calibri"/>
          <w:b/>
          <w:bCs/>
        </w:rPr>
        <w:t>, D.A. Sarigiannis</w:t>
      </w:r>
      <w:r w:rsidR="000407B7">
        <w:rPr>
          <w:rFonts w:ascii="Calibri" w:eastAsia="Calibri" w:hAnsi="Calibri" w:cs="Calibri"/>
          <w:b/>
          <w:bCs/>
          <w:vertAlign w:val="superscript"/>
        </w:rPr>
        <w:t>2,3,6</w:t>
      </w:r>
      <w:r w:rsidR="000407B7">
        <w:rPr>
          <w:rFonts w:ascii="Calibri" w:eastAsia="Calibri" w:hAnsi="Calibri" w:cs="Calibri"/>
          <w:b/>
          <w:bCs/>
        </w:rPr>
        <w:t xml:space="preserve">, </w:t>
      </w:r>
      <w:r w:rsidR="000407B7" w:rsidRPr="000407B7">
        <w:rPr>
          <w:rFonts w:ascii="Calibri" w:eastAsia="Calibri" w:hAnsi="Calibri" w:cs="Calibri"/>
          <w:b/>
          <w:bCs/>
        </w:rPr>
        <w:t>S. Valentini</w:t>
      </w:r>
      <w:r w:rsidR="000407B7" w:rsidRPr="000407B7">
        <w:rPr>
          <w:rFonts w:ascii="Calibri" w:eastAsia="Calibri" w:hAnsi="Calibri" w:cs="Calibri"/>
          <w:b/>
          <w:bCs/>
          <w:vertAlign w:val="superscript"/>
        </w:rPr>
        <w:t>1</w:t>
      </w:r>
      <w:r w:rsidR="000407B7" w:rsidRPr="000407B7">
        <w:rPr>
          <w:rFonts w:ascii="Calibri" w:eastAsia="Calibri" w:hAnsi="Calibri" w:cs="Calibri"/>
          <w:b/>
          <w:bCs/>
        </w:rPr>
        <w:t>, E. De Felip</w:t>
      </w:r>
      <w:r w:rsidR="000407B7" w:rsidRPr="000407B7">
        <w:rPr>
          <w:rFonts w:ascii="Calibri" w:eastAsia="Calibri" w:hAnsi="Calibri" w:cs="Calibri"/>
          <w:b/>
          <w:bCs/>
          <w:vertAlign w:val="superscript"/>
        </w:rPr>
        <w:t>1</w:t>
      </w:r>
      <w:r w:rsidR="000407B7" w:rsidRPr="000407B7">
        <w:rPr>
          <w:rFonts w:ascii="Calibri" w:eastAsia="Calibri" w:hAnsi="Calibri" w:cs="Calibri"/>
          <w:b/>
          <w:bCs/>
        </w:rPr>
        <w:t>, L. Ricceri</w:t>
      </w:r>
      <w:r w:rsidR="000407B7" w:rsidRPr="000407B7">
        <w:rPr>
          <w:rFonts w:ascii="Calibri" w:eastAsia="Calibri" w:hAnsi="Calibri" w:cs="Calibri"/>
          <w:b/>
          <w:bCs/>
          <w:vertAlign w:val="superscript"/>
        </w:rPr>
        <w:t>4</w:t>
      </w:r>
      <w:r w:rsidR="000407B7" w:rsidRPr="000407B7">
        <w:rPr>
          <w:rFonts w:ascii="Calibri" w:eastAsia="Calibri" w:hAnsi="Calibri" w:cs="Calibri"/>
          <w:b/>
          <w:bCs/>
        </w:rPr>
        <w:t>, G. Calamandrei</w:t>
      </w:r>
      <w:proofErr w:type="gramStart"/>
      <w:r w:rsidR="000407B7" w:rsidRPr="000407B7">
        <w:rPr>
          <w:rFonts w:ascii="Calibri" w:eastAsia="Calibri" w:hAnsi="Calibri" w:cs="Calibri"/>
          <w:b/>
          <w:bCs/>
          <w:vertAlign w:val="superscript"/>
        </w:rPr>
        <w:t>4</w:t>
      </w:r>
      <w:r w:rsidR="000407B7" w:rsidRPr="000407B7">
        <w:rPr>
          <w:rFonts w:ascii="Calibri" w:eastAsia="Calibri" w:hAnsi="Calibri" w:cs="Calibri"/>
          <w:b/>
          <w:bCs/>
        </w:rPr>
        <w:t>,  A.</w:t>
      </w:r>
      <w:proofErr w:type="gramEnd"/>
      <w:r w:rsidR="000407B7" w:rsidRPr="000407B7">
        <w:rPr>
          <w:rFonts w:ascii="Calibri" w:eastAsia="Calibri" w:hAnsi="Calibri" w:cs="Calibri"/>
          <w:b/>
          <w:bCs/>
        </w:rPr>
        <w:t xml:space="preserve"> Pino</w:t>
      </w:r>
      <w:r w:rsidR="000407B7" w:rsidRPr="000407B7">
        <w:rPr>
          <w:rFonts w:ascii="Calibri" w:eastAsia="Calibri" w:hAnsi="Calibri" w:cs="Calibri"/>
          <w:b/>
          <w:bCs/>
          <w:vertAlign w:val="superscript"/>
        </w:rPr>
        <w:t>1</w:t>
      </w:r>
    </w:p>
    <w:p w14:paraId="5277AD9A" w14:textId="77777777" w:rsidR="00E66124" w:rsidRPr="001E54CC" w:rsidRDefault="08C7256C" w:rsidP="000840A9">
      <w:pPr>
        <w:spacing w:after="0" w:line="240" w:lineRule="auto"/>
        <w:jc w:val="center"/>
        <w:rPr>
          <w:rFonts w:eastAsiaTheme="minorEastAsia"/>
        </w:rPr>
      </w:pPr>
      <w:r w:rsidRPr="08C7256C">
        <w:rPr>
          <w:rFonts w:eastAsiaTheme="minorEastAsia"/>
          <w:vertAlign w:val="superscript"/>
        </w:rPr>
        <w:t>1</w:t>
      </w:r>
      <w:r w:rsidRPr="08C7256C">
        <w:rPr>
          <w:rFonts w:eastAsiaTheme="minorEastAsia"/>
        </w:rPr>
        <w:t xml:space="preserve"> Department of Environment and Health, </w:t>
      </w:r>
      <w:proofErr w:type="spellStart"/>
      <w:r w:rsidRPr="08C7256C">
        <w:rPr>
          <w:rFonts w:eastAsiaTheme="minorEastAsia"/>
        </w:rPr>
        <w:t>Istituto</w:t>
      </w:r>
      <w:proofErr w:type="spellEnd"/>
      <w:r w:rsidRPr="08C7256C">
        <w:rPr>
          <w:rFonts w:eastAsiaTheme="minorEastAsia"/>
        </w:rPr>
        <w:t xml:space="preserve"> </w:t>
      </w:r>
      <w:proofErr w:type="spellStart"/>
      <w:r w:rsidRPr="08C7256C">
        <w:rPr>
          <w:rFonts w:eastAsiaTheme="minorEastAsia"/>
        </w:rPr>
        <w:t>Superiore</w:t>
      </w:r>
      <w:proofErr w:type="spellEnd"/>
      <w:r w:rsidRPr="08C7256C">
        <w:rPr>
          <w:rFonts w:eastAsiaTheme="minorEastAsia"/>
        </w:rPr>
        <w:t xml:space="preserve"> di </w:t>
      </w:r>
      <w:proofErr w:type="spellStart"/>
      <w:r w:rsidRPr="08C7256C">
        <w:rPr>
          <w:rFonts w:eastAsiaTheme="minorEastAsia"/>
        </w:rPr>
        <w:t>Sanità</w:t>
      </w:r>
      <w:proofErr w:type="spellEnd"/>
      <w:r w:rsidRPr="08C7256C">
        <w:rPr>
          <w:rFonts w:eastAsiaTheme="minorEastAsia"/>
        </w:rPr>
        <w:t>, Viale Regina Elena 299, 00161 Rome, Italy</w:t>
      </w:r>
    </w:p>
    <w:p w14:paraId="544BC0CA" w14:textId="77777777" w:rsidR="00E66124" w:rsidRPr="001E54CC" w:rsidRDefault="08C7256C" w:rsidP="000840A9">
      <w:pPr>
        <w:spacing w:after="0" w:line="240" w:lineRule="auto"/>
        <w:jc w:val="center"/>
        <w:rPr>
          <w:rFonts w:eastAsiaTheme="minorEastAsia"/>
        </w:rPr>
      </w:pPr>
      <w:r w:rsidRPr="08C7256C">
        <w:rPr>
          <w:rFonts w:eastAsiaTheme="minorEastAsia"/>
          <w:vertAlign w:val="superscript"/>
        </w:rPr>
        <w:t>2</w:t>
      </w:r>
      <w:r w:rsidRPr="08C7256C">
        <w:rPr>
          <w:rFonts w:eastAsiaTheme="minorEastAsia"/>
        </w:rPr>
        <w:t xml:space="preserve"> Environmental Engineering Laboratory, Department of Chemical Engineering, Aristotle University of Thessaloniki, Thessaloniki, 54124, Greece</w:t>
      </w:r>
    </w:p>
    <w:p w14:paraId="792FE909" w14:textId="6AE3A5E0" w:rsidR="00E66124" w:rsidRPr="000407B7" w:rsidRDefault="08C7256C" w:rsidP="000840A9">
      <w:pPr>
        <w:spacing w:after="0" w:line="240" w:lineRule="auto"/>
        <w:jc w:val="center"/>
        <w:rPr>
          <w:rFonts w:eastAsiaTheme="minorEastAsia"/>
        </w:rPr>
      </w:pPr>
      <w:r w:rsidRPr="08C7256C">
        <w:rPr>
          <w:rFonts w:eastAsiaTheme="minorEastAsia"/>
          <w:vertAlign w:val="superscript"/>
        </w:rPr>
        <w:t>3</w:t>
      </w:r>
      <w:r w:rsidRPr="08C7256C">
        <w:rPr>
          <w:rFonts w:eastAsiaTheme="minorEastAsia"/>
        </w:rPr>
        <w:t xml:space="preserve"> HERACLES Research Center on the Exposome and Health, Center for Interdisciplinary Research </w:t>
      </w:r>
      <w:r w:rsidRPr="000407B7">
        <w:rPr>
          <w:rFonts w:eastAsiaTheme="minorEastAsia"/>
        </w:rPr>
        <w:t xml:space="preserve">and Innovation, Balkan </w:t>
      </w:r>
      <w:proofErr w:type="spellStart"/>
      <w:r w:rsidRPr="000407B7">
        <w:rPr>
          <w:rFonts w:eastAsiaTheme="minorEastAsia"/>
        </w:rPr>
        <w:t>Center</w:t>
      </w:r>
      <w:proofErr w:type="spellEnd"/>
      <w:r w:rsidRPr="000407B7">
        <w:rPr>
          <w:rFonts w:eastAsiaTheme="minorEastAsia"/>
        </w:rPr>
        <w:t>, 57001, Greece</w:t>
      </w:r>
    </w:p>
    <w:p w14:paraId="7E913AA4" w14:textId="2C170A3E" w:rsidR="000407B7" w:rsidRPr="000407B7" w:rsidRDefault="000407B7" w:rsidP="000407B7">
      <w:pPr>
        <w:spacing w:after="0" w:line="240" w:lineRule="auto"/>
        <w:jc w:val="center"/>
        <w:rPr>
          <w:rFonts w:eastAsiaTheme="minorEastAsia"/>
          <w:lang w:val="en-CA"/>
        </w:rPr>
      </w:pPr>
      <w:r w:rsidRPr="000407B7">
        <w:rPr>
          <w:rFonts w:eastAsiaTheme="minorEastAsia"/>
          <w:vertAlign w:val="superscript"/>
          <w:lang w:val="en-US"/>
        </w:rPr>
        <w:t>4</w:t>
      </w:r>
      <w:r>
        <w:rPr>
          <w:rFonts w:eastAsiaTheme="minorEastAsia"/>
          <w:vertAlign w:val="superscript"/>
          <w:lang w:val="en-US"/>
        </w:rPr>
        <w:t xml:space="preserve"> </w:t>
      </w:r>
      <w:r w:rsidRPr="000407B7">
        <w:rPr>
          <w:rFonts w:eastAsiaTheme="minorEastAsia"/>
          <w:lang w:val="en-US"/>
        </w:rPr>
        <w:t xml:space="preserve">Center for Behavioral Sciences and Mental Health, </w:t>
      </w:r>
      <w:proofErr w:type="spellStart"/>
      <w:r w:rsidRPr="000407B7">
        <w:rPr>
          <w:rFonts w:eastAsiaTheme="minorEastAsia"/>
          <w:lang w:val="en-US"/>
        </w:rPr>
        <w:t>Istituto</w:t>
      </w:r>
      <w:proofErr w:type="spellEnd"/>
      <w:r w:rsidRPr="000407B7">
        <w:rPr>
          <w:rFonts w:eastAsiaTheme="minorEastAsia"/>
          <w:lang w:val="en-US"/>
        </w:rPr>
        <w:t xml:space="preserve"> </w:t>
      </w:r>
      <w:proofErr w:type="spellStart"/>
      <w:r w:rsidRPr="000407B7">
        <w:rPr>
          <w:rFonts w:eastAsiaTheme="minorEastAsia"/>
          <w:lang w:val="en-US"/>
        </w:rPr>
        <w:t>Superiore</w:t>
      </w:r>
      <w:proofErr w:type="spellEnd"/>
      <w:r w:rsidRPr="000407B7">
        <w:rPr>
          <w:rFonts w:eastAsiaTheme="minorEastAsia"/>
          <w:lang w:val="en-US"/>
        </w:rPr>
        <w:t xml:space="preserve"> di </w:t>
      </w:r>
      <w:proofErr w:type="spellStart"/>
      <w:r w:rsidRPr="000407B7">
        <w:rPr>
          <w:rFonts w:eastAsiaTheme="minorEastAsia"/>
          <w:lang w:val="en-US"/>
        </w:rPr>
        <w:t>Sanità</w:t>
      </w:r>
      <w:proofErr w:type="spellEnd"/>
      <w:r w:rsidRPr="000407B7">
        <w:rPr>
          <w:rFonts w:eastAsiaTheme="minorEastAsia"/>
          <w:lang w:val="en-US"/>
        </w:rPr>
        <w:t xml:space="preserve">, </w:t>
      </w:r>
      <w:proofErr w:type="spellStart"/>
      <w:r w:rsidRPr="000407B7">
        <w:rPr>
          <w:rFonts w:eastAsiaTheme="minorEastAsia"/>
          <w:lang w:val="en-US"/>
        </w:rPr>
        <w:t>Viale</w:t>
      </w:r>
      <w:proofErr w:type="spellEnd"/>
      <w:r w:rsidRPr="000407B7">
        <w:rPr>
          <w:rFonts w:eastAsiaTheme="minorEastAsia"/>
          <w:lang w:val="en-US"/>
        </w:rPr>
        <w:t xml:space="preserve"> Regina Elena 299, 00161 Rome, Italy.</w:t>
      </w:r>
    </w:p>
    <w:p w14:paraId="24839333" w14:textId="0AF0ADA4" w:rsidR="000407B7" w:rsidRDefault="000407B7" w:rsidP="000407B7">
      <w:pPr>
        <w:spacing w:after="0" w:line="240" w:lineRule="auto"/>
        <w:jc w:val="center"/>
        <w:rPr>
          <w:rFonts w:eastAsiaTheme="minorEastAsia"/>
          <w:lang w:val="it-IT"/>
        </w:rPr>
      </w:pPr>
      <w:r w:rsidRPr="000407B7">
        <w:rPr>
          <w:rFonts w:eastAsiaTheme="minorEastAsia"/>
          <w:vertAlign w:val="superscript"/>
          <w:lang w:val="en-US"/>
        </w:rPr>
        <w:t>5</w:t>
      </w:r>
      <w:r w:rsidRPr="000407B7">
        <w:rPr>
          <w:rFonts w:eastAsiaTheme="minorEastAsia"/>
          <w:lang w:val="en-US"/>
        </w:rPr>
        <w:t xml:space="preserve"> </w:t>
      </w:r>
      <w:r w:rsidRPr="000407B7">
        <w:rPr>
          <w:rFonts w:eastAsiaTheme="minorEastAsia"/>
          <w:lang w:val="it-IT"/>
        </w:rPr>
        <w:t>Department of Physiology and Pharmacology "Vittorio Erspamer", Sapienza Università di Roma, Roma, Italy</w:t>
      </w:r>
    </w:p>
    <w:p w14:paraId="486DA380" w14:textId="1B90C8A8" w:rsidR="000407B7" w:rsidRDefault="000407B7" w:rsidP="000407B7">
      <w:pPr>
        <w:spacing w:after="0" w:line="240" w:lineRule="auto"/>
        <w:jc w:val="center"/>
        <w:rPr>
          <w:rFonts w:eastAsiaTheme="minorEastAsia"/>
        </w:rPr>
      </w:pPr>
      <w:r>
        <w:rPr>
          <w:rFonts w:eastAsiaTheme="minorEastAsia"/>
          <w:vertAlign w:val="superscript"/>
        </w:rPr>
        <w:t>6</w:t>
      </w:r>
      <w:r>
        <w:rPr>
          <w:rFonts w:eastAsiaTheme="minorEastAsia"/>
        </w:rPr>
        <w:t xml:space="preserve"> Environmental Health Engineering, School for Advanced Study IUSS, Pavia, Italy</w:t>
      </w:r>
    </w:p>
    <w:p w14:paraId="31263D18" w14:textId="5BCA631B" w:rsidR="000407B7" w:rsidRDefault="000407B7" w:rsidP="000407B7">
      <w:pPr>
        <w:spacing w:after="0" w:line="240" w:lineRule="auto"/>
        <w:jc w:val="center"/>
        <w:rPr>
          <w:rFonts w:eastAsiaTheme="minorEastAsia"/>
        </w:rPr>
      </w:pPr>
      <w:r>
        <w:rPr>
          <w:rFonts w:eastAsiaTheme="minorEastAsia"/>
          <w:vertAlign w:val="superscript"/>
        </w:rPr>
        <w:t>7</w:t>
      </w:r>
      <w:r>
        <w:rPr>
          <w:rFonts w:eastAsiaTheme="minorEastAsia"/>
        </w:rPr>
        <w:t xml:space="preserve"> ENVE.X, Thessaloniki, Greece   https://enve-x.com/</w:t>
      </w:r>
    </w:p>
    <w:p w14:paraId="4E421A22" w14:textId="77777777" w:rsidR="000407B7" w:rsidRPr="000407B7" w:rsidRDefault="000407B7" w:rsidP="000407B7">
      <w:pPr>
        <w:spacing w:after="0" w:line="240" w:lineRule="auto"/>
        <w:jc w:val="center"/>
        <w:rPr>
          <w:rFonts w:eastAsiaTheme="minorEastAsia"/>
        </w:rPr>
      </w:pPr>
    </w:p>
    <w:p w14:paraId="3A5F71F2" w14:textId="77777777" w:rsidR="000407B7" w:rsidRPr="000407B7" w:rsidRDefault="000407B7" w:rsidP="000840A9">
      <w:pPr>
        <w:spacing w:after="0" w:line="240" w:lineRule="auto"/>
        <w:jc w:val="center"/>
        <w:rPr>
          <w:rFonts w:eastAsiaTheme="minorEastAsia"/>
          <w:lang w:val="en-CA"/>
        </w:rPr>
      </w:pPr>
    </w:p>
    <w:p w14:paraId="3E0BEE70" w14:textId="77777777" w:rsidR="00E66124" w:rsidRPr="00480982" w:rsidRDefault="08C7256C" w:rsidP="000840A9">
      <w:pPr>
        <w:pStyle w:val="ListParagraph"/>
        <w:spacing w:before="0" w:line="240" w:lineRule="auto"/>
        <w:ind w:left="0"/>
        <w:contextualSpacing w:val="0"/>
        <w:jc w:val="center"/>
        <w:rPr>
          <w:rStyle w:val="hps"/>
          <w:rFonts w:eastAsiaTheme="minorEastAsia"/>
          <w:b/>
          <w:bCs/>
          <w:sz w:val="24"/>
          <w:szCs w:val="24"/>
          <w:lang w:val="en-US"/>
        </w:rPr>
      </w:pPr>
      <w:r w:rsidRPr="08C7256C">
        <w:rPr>
          <w:rStyle w:val="Hyperlink"/>
          <w:rFonts w:eastAsiaTheme="minorEastAsia"/>
          <w:i/>
          <w:iCs/>
          <w:sz w:val="24"/>
          <w:szCs w:val="24"/>
          <w:lang w:val="en-US"/>
        </w:rPr>
        <w:t>* daynaraeschultz@gmail.com</w:t>
      </w:r>
    </w:p>
    <w:p w14:paraId="6AC71561" w14:textId="77777777" w:rsidR="00E66124" w:rsidRPr="009D38E1" w:rsidRDefault="00E66124" w:rsidP="00E66124">
      <w:pPr>
        <w:jc w:val="center"/>
        <w:rPr>
          <w:rFonts w:cstheme="minorHAnsi"/>
          <w:bCs/>
          <w:szCs w:val="24"/>
        </w:rPr>
      </w:pPr>
    </w:p>
    <w:p w14:paraId="728C0A25" w14:textId="77777777" w:rsidR="00E66124" w:rsidRPr="00AE741A" w:rsidRDefault="08C7256C" w:rsidP="08C7256C">
      <w:pPr>
        <w:rPr>
          <w:rFonts w:ascii="Calibri" w:eastAsia="Calibri" w:hAnsi="Calibri" w:cs="Calibri"/>
          <w:b/>
          <w:bCs/>
        </w:rPr>
      </w:pPr>
      <w:r w:rsidRPr="08C7256C">
        <w:rPr>
          <w:rFonts w:ascii="Calibri" w:eastAsia="Calibri" w:hAnsi="Calibri" w:cs="Calibri"/>
          <w:b/>
          <w:bCs/>
        </w:rPr>
        <w:t>ABSTRACT</w:t>
      </w:r>
    </w:p>
    <w:p w14:paraId="77FA05CB" w14:textId="40D10332" w:rsidR="00E66124" w:rsidRDefault="08C7256C" w:rsidP="00586CDA">
      <w:pPr>
        <w:tabs>
          <w:tab w:val="num" w:pos="720"/>
        </w:tabs>
        <w:spacing w:line="240" w:lineRule="auto"/>
        <w:jc w:val="both"/>
        <w:rPr>
          <w:rFonts w:ascii="Calibri" w:eastAsia="Calibri" w:hAnsi="Calibri" w:cs="Calibri"/>
        </w:rPr>
      </w:pPr>
      <w:r w:rsidRPr="08C7256C">
        <w:rPr>
          <w:rFonts w:ascii="Calibri" w:eastAsia="Calibri" w:hAnsi="Calibri" w:cs="Calibri"/>
        </w:rPr>
        <w:t xml:space="preserve">The Newcomb-Benford Law (NBL) is a powerful mathematical concept that describes the distribution frequency of the significant digits for in large data sets (Judge and Schechter 2009). NBL suggests that the probability for the significant digits (1 through 9) of a randomly occurring number is not equally distributed but follows a distribution where 1 occurs more frequently than 2, 2 more than 3, and so on. Use of the NBL has frequently been used to identify fraudulent or manipulated data in the political, economic, and natural sciences. However, few studies have used the NBL to identify underlying mechanisms in toxicokinetic and toxicodynamic analyses. We applied NBL to five different exposure data sets with the aim of understanding how toxicokinetics and toxicodynamics (TK-TD) of essential, beneficial, and nonessential elements may influence conformity to the Newcomb-Benford distribution (NBD) in mammalian </w:t>
      </w:r>
      <w:proofErr w:type="spellStart"/>
      <w:r w:rsidRPr="08C7256C">
        <w:rPr>
          <w:rFonts w:ascii="Calibri" w:eastAsia="Calibri" w:hAnsi="Calibri" w:cs="Calibri"/>
        </w:rPr>
        <w:t>biosamples</w:t>
      </w:r>
      <w:proofErr w:type="spellEnd"/>
      <w:r w:rsidRPr="08C7256C">
        <w:rPr>
          <w:rFonts w:ascii="Calibri" w:eastAsia="Calibri" w:hAnsi="Calibri" w:cs="Calibri"/>
        </w:rPr>
        <w:t xml:space="preserve">. Data sets were collected for observational and experimental studies and measured a range of concentrations of essential, beneficial, and nonessential elements in human adults and children as well as mice. </w:t>
      </w:r>
    </w:p>
    <w:p w14:paraId="4DBD3049" w14:textId="77777777" w:rsidR="00E66124" w:rsidRDefault="08C7256C" w:rsidP="00586CDA">
      <w:pPr>
        <w:spacing w:line="240" w:lineRule="auto"/>
        <w:jc w:val="both"/>
        <w:rPr>
          <w:rFonts w:ascii="Calibri" w:eastAsia="Calibri" w:hAnsi="Calibri" w:cs="Calibri"/>
        </w:rPr>
      </w:pPr>
      <w:r w:rsidRPr="08C7256C">
        <w:rPr>
          <w:rFonts w:ascii="Calibri" w:eastAsia="Calibri" w:hAnsi="Calibri" w:cs="Calibri"/>
        </w:rPr>
        <w:t xml:space="preserve">Findings suggest that underlying physiological mechanisms, such as preferential uptake of essential elements, may lead to violations of the NBD and that in these cases, the violation appeared to follow a characteristic rotated sigmoidal curve. Findings also indicate that competitive co-exposure to a beneficial and nonessential element results in a violation without a characteristic trend. Therefore, the use of the NBL in exposure data to detect data manipulation may be flawed. </w:t>
      </w:r>
    </w:p>
    <w:p w14:paraId="6DF24957" w14:textId="77777777" w:rsidR="00E66124" w:rsidRDefault="00E66124" w:rsidP="00586CDA">
      <w:pPr>
        <w:spacing w:line="240" w:lineRule="auto"/>
        <w:rPr>
          <w:rFonts w:ascii="Calibri" w:eastAsia="Calibri" w:hAnsi="Calibri" w:cs="Calibri"/>
        </w:rPr>
      </w:pPr>
    </w:p>
    <w:p w14:paraId="02F4933C" w14:textId="77777777" w:rsidR="00E66124" w:rsidRPr="00AE741A" w:rsidRDefault="108C1E17" w:rsidP="108C1E17">
      <w:pPr>
        <w:jc w:val="both"/>
        <w:rPr>
          <w:rFonts w:ascii="Calibri" w:eastAsia="Calibri" w:hAnsi="Calibri" w:cs="Calibri"/>
          <w:b/>
          <w:bCs/>
          <w:sz w:val="20"/>
          <w:szCs w:val="20"/>
        </w:rPr>
      </w:pPr>
      <w:r w:rsidRPr="108C1E17">
        <w:rPr>
          <w:rFonts w:ascii="Calibri" w:eastAsia="Calibri" w:hAnsi="Calibri" w:cs="Calibri"/>
          <w:b/>
          <w:bCs/>
          <w:sz w:val="20"/>
          <w:szCs w:val="20"/>
        </w:rPr>
        <w:t xml:space="preserve">KEYWORDS: </w:t>
      </w:r>
      <w:r w:rsidRPr="108C1E17">
        <w:rPr>
          <w:rFonts w:ascii="Calibri" w:eastAsia="Calibri" w:hAnsi="Calibri" w:cs="Calibri"/>
          <w:sz w:val="20"/>
          <w:szCs w:val="20"/>
        </w:rPr>
        <w:t>Benford’s Law, data science, toxicokinetics, toxicodynamics, exposure toxicology</w:t>
      </w:r>
    </w:p>
    <w:p w14:paraId="7BC10563" w14:textId="77777777" w:rsidR="00E66124" w:rsidRPr="00AE741A" w:rsidRDefault="108C1E17" w:rsidP="108C1E17">
      <w:pPr>
        <w:jc w:val="both"/>
        <w:rPr>
          <w:rFonts w:ascii="Calibri" w:eastAsia="Calibri" w:hAnsi="Calibri" w:cs="Calibri"/>
          <w:b/>
          <w:bCs/>
          <w:sz w:val="20"/>
          <w:szCs w:val="20"/>
        </w:rPr>
      </w:pPr>
      <w:r w:rsidRPr="108C1E17">
        <w:rPr>
          <w:rFonts w:ascii="Calibri" w:eastAsia="Calibri" w:hAnsi="Calibri" w:cs="Calibri"/>
          <w:b/>
          <w:bCs/>
          <w:sz w:val="20"/>
          <w:szCs w:val="20"/>
        </w:rPr>
        <w:t>REFERNCES:</w:t>
      </w:r>
    </w:p>
    <w:p w14:paraId="36F8A7B2" w14:textId="77777777" w:rsidR="00E66124" w:rsidRPr="005E1D82" w:rsidRDefault="108C1E17" w:rsidP="08C7256C">
      <w:pPr>
        <w:rPr>
          <w:rFonts w:ascii="Calibri" w:eastAsia="Calibri" w:hAnsi="Calibri" w:cs="Calibri"/>
          <w:sz w:val="20"/>
          <w:szCs w:val="20"/>
          <w:lang w:val="en-CA"/>
        </w:rPr>
      </w:pPr>
      <w:r w:rsidRPr="108C1E17">
        <w:rPr>
          <w:rFonts w:ascii="Calibri" w:eastAsia="Calibri" w:hAnsi="Calibri" w:cs="Calibri"/>
          <w:sz w:val="20"/>
          <w:szCs w:val="20"/>
          <w:lang w:val="en-CA"/>
        </w:rPr>
        <w:t>[1]</w:t>
      </w:r>
      <w:r w:rsidRPr="108C1E17">
        <w:rPr>
          <w:rFonts w:ascii="Calibri" w:eastAsia="Calibri" w:hAnsi="Calibri" w:cs="Calibri"/>
          <w:sz w:val="20"/>
          <w:szCs w:val="20"/>
        </w:rPr>
        <w:t xml:space="preserve"> </w:t>
      </w:r>
      <w:r w:rsidRPr="108C1E17">
        <w:rPr>
          <w:rFonts w:ascii="Calibri" w:eastAsia="Calibri" w:hAnsi="Calibri" w:cs="Calibri"/>
          <w:sz w:val="20"/>
          <w:szCs w:val="20"/>
          <w:lang w:val="en-CA"/>
        </w:rPr>
        <w:t xml:space="preserve">Dieter William </w:t>
      </w:r>
      <w:proofErr w:type="spellStart"/>
      <w:r w:rsidRPr="108C1E17">
        <w:rPr>
          <w:rFonts w:ascii="Calibri" w:eastAsia="Calibri" w:hAnsi="Calibri" w:cs="Calibri"/>
          <w:sz w:val="20"/>
          <w:szCs w:val="20"/>
          <w:lang w:val="en-CA"/>
        </w:rPr>
        <w:t>Joenssen</w:t>
      </w:r>
      <w:proofErr w:type="spellEnd"/>
      <w:r w:rsidRPr="108C1E17">
        <w:rPr>
          <w:rFonts w:ascii="Calibri" w:eastAsia="Calibri" w:hAnsi="Calibri" w:cs="Calibri"/>
          <w:sz w:val="20"/>
          <w:szCs w:val="20"/>
          <w:lang w:val="en-CA"/>
        </w:rPr>
        <w:t xml:space="preserve"> (2015). </w:t>
      </w:r>
      <w:proofErr w:type="spellStart"/>
      <w:r w:rsidRPr="108C1E17">
        <w:rPr>
          <w:rFonts w:ascii="Calibri" w:eastAsia="Calibri" w:hAnsi="Calibri" w:cs="Calibri"/>
          <w:sz w:val="20"/>
          <w:szCs w:val="20"/>
          <w:lang w:val="en-CA"/>
        </w:rPr>
        <w:t>BenfordTests</w:t>
      </w:r>
      <w:proofErr w:type="spellEnd"/>
      <w:r w:rsidRPr="108C1E17">
        <w:rPr>
          <w:rFonts w:ascii="Calibri" w:eastAsia="Calibri" w:hAnsi="Calibri" w:cs="Calibri"/>
          <w:sz w:val="20"/>
          <w:szCs w:val="20"/>
          <w:lang w:val="en-CA"/>
        </w:rPr>
        <w:t>: Statistical Tests for Evaluating Conformity to Benford's Law. R package version 1.2.0. https://CRAN.R-project.org/package=BenfordTests</w:t>
      </w:r>
    </w:p>
    <w:p w14:paraId="1D7BAB28" w14:textId="035983A8" w:rsidR="004F7B38" w:rsidRPr="00176295" w:rsidRDefault="108C1E17" w:rsidP="108C1E17">
      <w:pPr>
        <w:rPr>
          <w:rFonts w:ascii="Calibri" w:eastAsia="Calibri" w:hAnsi="Calibri" w:cs="Calibri"/>
          <w:b/>
          <w:bCs/>
          <w:sz w:val="20"/>
          <w:szCs w:val="20"/>
        </w:rPr>
      </w:pPr>
      <w:r w:rsidRPr="108C1E17">
        <w:rPr>
          <w:rFonts w:ascii="Calibri" w:eastAsia="Calibri" w:hAnsi="Calibri" w:cs="Calibri"/>
          <w:sz w:val="20"/>
          <w:szCs w:val="20"/>
          <w:lang w:val="en-CA"/>
        </w:rPr>
        <w:lastRenderedPageBreak/>
        <w:t>[2] Judge, G. and Schechter, L. (2009) Detecting Problems in Survey Data using Benford’s Law. Journal of Human Resources. 44, 1–24.</w:t>
      </w:r>
    </w:p>
    <w:sectPr w:rsidR="004F7B38" w:rsidRPr="00176295"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BD96" w14:textId="77777777" w:rsidR="00AD796D" w:rsidRDefault="00AD796D" w:rsidP="00B10FCD">
      <w:pPr>
        <w:spacing w:after="0" w:line="240" w:lineRule="auto"/>
      </w:pPr>
      <w:r>
        <w:separator/>
      </w:r>
    </w:p>
  </w:endnote>
  <w:endnote w:type="continuationSeparator" w:id="0">
    <w:p w14:paraId="40C80DBD" w14:textId="77777777" w:rsidR="00AD796D" w:rsidRDefault="00AD796D"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E050DF" w:rsidRPr="00E050DF">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6775" w14:textId="77777777" w:rsidR="00AD796D" w:rsidRDefault="00AD796D" w:rsidP="00B10FCD">
      <w:pPr>
        <w:spacing w:after="0" w:line="240" w:lineRule="auto"/>
      </w:pPr>
      <w:r>
        <w:separator/>
      </w:r>
    </w:p>
  </w:footnote>
  <w:footnote w:type="continuationSeparator" w:id="0">
    <w:p w14:paraId="75EAFB28" w14:textId="77777777" w:rsidR="00AD796D" w:rsidRDefault="00AD796D"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gUAykv4lSwAAAA="/>
  </w:docVars>
  <w:rsids>
    <w:rsidRoot w:val="002937B1"/>
    <w:rsid w:val="00021F7A"/>
    <w:rsid w:val="000407B7"/>
    <w:rsid w:val="00055CAD"/>
    <w:rsid w:val="000840A9"/>
    <w:rsid w:val="000C3B9B"/>
    <w:rsid w:val="000E7582"/>
    <w:rsid w:val="001327BE"/>
    <w:rsid w:val="00134726"/>
    <w:rsid w:val="00137B0D"/>
    <w:rsid w:val="00176295"/>
    <w:rsid w:val="00257888"/>
    <w:rsid w:val="002607CE"/>
    <w:rsid w:val="0027478C"/>
    <w:rsid w:val="002937B1"/>
    <w:rsid w:val="002938E7"/>
    <w:rsid w:val="002B13CB"/>
    <w:rsid w:val="00380BDE"/>
    <w:rsid w:val="003F0560"/>
    <w:rsid w:val="003F102B"/>
    <w:rsid w:val="004631DE"/>
    <w:rsid w:val="00480982"/>
    <w:rsid w:val="004C2490"/>
    <w:rsid w:val="004F7B38"/>
    <w:rsid w:val="00586CDA"/>
    <w:rsid w:val="005A1B55"/>
    <w:rsid w:val="005A4565"/>
    <w:rsid w:val="00655B78"/>
    <w:rsid w:val="00670DAB"/>
    <w:rsid w:val="006A44A4"/>
    <w:rsid w:val="00705DF0"/>
    <w:rsid w:val="00740701"/>
    <w:rsid w:val="00756D04"/>
    <w:rsid w:val="0075703D"/>
    <w:rsid w:val="007807C7"/>
    <w:rsid w:val="0081402C"/>
    <w:rsid w:val="008F5143"/>
    <w:rsid w:val="00910F11"/>
    <w:rsid w:val="009125B7"/>
    <w:rsid w:val="00915963"/>
    <w:rsid w:val="00926E82"/>
    <w:rsid w:val="00935497"/>
    <w:rsid w:val="009803F2"/>
    <w:rsid w:val="00997EF7"/>
    <w:rsid w:val="009C653D"/>
    <w:rsid w:val="00A37FBF"/>
    <w:rsid w:val="00A84D47"/>
    <w:rsid w:val="00A924AE"/>
    <w:rsid w:val="00AA4FE7"/>
    <w:rsid w:val="00AB16ED"/>
    <w:rsid w:val="00AD393E"/>
    <w:rsid w:val="00AD796D"/>
    <w:rsid w:val="00AF459A"/>
    <w:rsid w:val="00B10FCD"/>
    <w:rsid w:val="00B36AC7"/>
    <w:rsid w:val="00BB51B3"/>
    <w:rsid w:val="00C04EBD"/>
    <w:rsid w:val="00C07544"/>
    <w:rsid w:val="00C55D63"/>
    <w:rsid w:val="00C82A15"/>
    <w:rsid w:val="00C84852"/>
    <w:rsid w:val="00C87A50"/>
    <w:rsid w:val="00CD2A96"/>
    <w:rsid w:val="00CF4EEC"/>
    <w:rsid w:val="00D24AEC"/>
    <w:rsid w:val="00D41C6E"/>
    <w:rsid w:val="00D678BE"/>
    <w:rsid w:val="00DA5472"/>
    <w:rsid w:val="00DE346C"/>
    <w:rsid w:val="00E050DF"/>
    <w:rsid w:val="00E31B83"/>
    <w:rsid w:val="00E63CAC"/>
    <w:rsid w:val="00E66124"/>
    <w:rsid w:val="00E853C3"/>
    <w:rsid w:val="00E87E35"/>
    <w:rsid w:val="00ED7AD7"/>
    <w:rsid w:val="08C7256C"/>
    <w:rsid w:val="108C1E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paragraph" w:customStyle="1" w:styleId="1">
    <w:name w:val="Обычный1"/>
    <w:link w:val="1Char"/>
    <w:rsid w:val="00176295"/>
    <w:pPr>
      <w:pBdr>
        <w:top w:val="nil"/>
        <w:left w:val="nil"/>
        <w:bottom w:val="nil"/>
        <w:right w:val="nil"/>
        <w:between w:val="nil"/>
      </w:pBdr>
      <w:spacing w:after="0"/>
    </w:pPr>
    <w:rPr>
      <w:rFonts w:ascii="Arial" w:eastAsia="Arial" w:hAnsi="Arial" w:cs="Arial"/>
      <w:color w:val="000000"/>
      <w:lang w:val="en-US"/>
    </w:rPr>
  </w:style>
  <w:style w:type="character" w:customStyle="1" w:styleId="1Char">
    <w:name w:val="Обычный1 Char"/>
    <w:basedOn w:val="DefaultParagraphFont"/>
    <w:link w:val="1"/>
    <w:rsid w:val="00176295"/>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72339">
      <w:bodyDiv w:val="1"/>
      <w:marLeft w:val="0"/>
      <w:marRight w:val="0"/>
      <w:marTop w:val="0"/>
      <w:marBottom w:val="0"/>
      <w:divBdr>
        <w:top w:val="none" w:sz="0" w:space="0" w:color="auto"/>
        <w:left w:val="none" w:sz="0" w:space="0" w:color="auto"/>
        <w:bottom w:val="none" w:sz="0" w:space="0" w:color="auto"/>
        <w:right w:val="none" w:sz="0" w:space="0" w:color="auto"/>
      </w:divBdr>
    </w:div>
    <w:div w:id="9753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F68F62F-FAD3-42B9-9D1E-8A38142D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Dayna Schultz</cp:lastModifiedBy>
  <cp:revision>18</cp:revision>
  <cp:lastPrinted>2016-12-14T08:08:00Z</cp:lastPrinted>
  <dcterms:created xsi:type="dcterms:W3CDTF">2022-01-07T09:32:00Z</dcterms:created>
  <dcterms:modified xsi:type="dcterms:W3CDTF">2022-02-13T14:49:00Z</dcterms:modified>
</cp:coreProperties>
</file>