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BD" w:rsidRPr="00F622D4" w:rsidRDefault="00C04EBD" w:rsidP="00F622D4">
      <w:pPr>
        <w:spacing w:after="120" w:line="240" w:lineRule="auto"/>
        <w:rPr>
          <w:rStyle w:val="hps"/>
          <w:rFonts w:cs="Times New Roman"/>
          <w:b/>
          <w:szCs w:val="24"/>
          <w:lang w:val="en-US"/>
        </w:rPr>
      </w:pPr>
    </w:p>
    <w:p w:rsidR="00C9385B" w:rsidRPr="00433259" w:rsidRDefault="00C9385B" w:rsidP="00C9385B">
      <w:pPr>
        <w:spacing w:after="120"/>
        <w:jc w:val="center"/>
        <w:rPr>
          <w:rStyle w:val="hps"/>
          <w:rFonts w:ascii="Calibri" w:eastAsia="Calibri" w:hAnsi="Calibri" w:cs="Times New Roman"/>
          <w:b/>
          <w:color w:val="000000"/>
          <w:sz w:val="28"/>
          <w:szCs w:val="24"/>
          <w:lang w:val="en-US"/>
        </w:rPr>
      </w:pPr>
      <w:proofErr w:type="spellStart"/>
      <w:r w:rsidRPr="00433259">
        <w:rPr>
          <w:rStyle w:val="hps"/>
          <w:rFonts w:ascii="Calibri" w:eastAsia="Calibri" w:hAnsi="Calibri" w:cs="Times New Roman"/>
          <w:b/>
          <w:color w:val="000000"/>
          <w:sz w:val="28"/>
          <w:szCs w:val="24"/>
          <w:lang w:val="en-US"/>
        </w:rPr>
        <w:t>Superhydrophobicity</w:t>
      </w:r>
      <w:proofErr w:type="spellEnd"/>
      <w:r w:rsidRPr="00433259">
        <w:rPr>
          <w:rStyle w:val="hps"/>
          <w:rFonts w:ascii="Calibri" w:eastAsia="Calibri" w:hAnsi="Calibri" w:cs="Times New Roman"/>
          <w:b/>
          <w:color w:val="000000"/>
          <w:sz w:val="28"/>
          <w:szCs w:val="24"/>
          <w:lang w:val="en-US"/>
        </w:rPr>
        <w:t xml:space="preserve"> using plasma nanotechnology for superior membrane distillation and anti-fouling performance</w:t>
      </w:r>
    </w:p>
    <w:p w:rsidR="00C9385B" w:rsidRPr="00613AA5" w:rsidRDefault="00C9385B" w:rsidP="00C9385B">
      <w:pPr>
        <w:spacing w:line="240" w:lineRule="auto"/>
        <w:jc w:val="center"/>
        <w:rPr>
          <w:rFonts w:cstheme="minorHAnsi"/>
          <w:b/>
          <w:color w:val="FF0000"/>
          <w:lang w:val="en-US"/>
        </w:rPr>
      </w:pPr>
      <w:r w:rsidRPr="00690151">
        <w:rPr>
          <w:rFonts w:cstheme="minorHAnsi"/>
          <w:b/>
          <w:u w:val="single"/>
        </w:rPr>
        <w:t>D</w:t>
      </w:r>
      <w:r>
        <w:rPr>
          <w:rFonts w:cstheme="minorHAnsi"/>
          <w:b/>
          <w:u w:val="single"/>
        </w:rPr>
        <w:t>.</w:t>
      </w:r>
      <w:r w:rsidRPr="00690151">
        <w:rPr>
          <w:rFonts w:cstheme="minorHAnsi"/>
          <w:b/>
          <w:u w:val="single"/>
        </w:rPr>
        <w:t xml:space="preserve"> Ioannou</w:t>
      </w:r>
      <w:r w:rsidRPr="00690151">
        <w:rPr>
          <w:rFonts w:cstheme="minorHAnsi"/>
          <w:b/>
          <w:vertAlign w:val="superscript"/>
        </w:rPr>
        <w:t>1</w:t>
      </w:r>
      <w:proofErr w:type="gramStart"/>
      <w:r w:rsidRPr="00690151">
        <w:rPr>
          <w:rFonts w:cstheme="minorHAnsi"/>
          <w:b/>
          <w:vertAlign w:val="superscript"/>
        </w:rPr>
        <w:t>,2</w:t>
      </w:r>
      <w:proofErr w:type="gramEnd"/>
      <w:r w:rsidRPr="00690151">
        <w:rPr>
          <w:rFonts w:cstheme="minorHAnsi"/>
          <w:b/>
        </w:rPr>
        <w:t>, Y</w:t>
      </w:r>
      <w:r>
        <w:rPr>
          <w:rFonts w:cstheme="minorHAnsi"/>
          <w:b/>
        </w:rPr>
        <w:t>.</w:t>
      </w:r>
      <w:r w:rsidRPr="00690151">
        <w:rPr>
          <w:rFonts w:cstheme="minorHAnsi"/>
          <w:b/>
        </w:rPr>
        <w:t xml:space="preserve"> Hou</w:t>
      </w:r>
      <w:r>
        <w:rPr>
          <w:rFonts w:cstheme="minorHAnsi"/>
          <w:b/>
          <w:vertAlign w:val="superscript"/>
        </w:rPr>
        <w:t>3</w:t>
      </w:r>
      <w:r w:rsidRPr="00690151">
        <w:rPr>
          <w:rFonts w:cstheme="minorHAnsi"/>
          <w:b/>
        </w:rPr>
        <w:t>, P</w:t>
      </w:r>
      <w:r>
        <w:rPr>
          <w:rFonts w:cstheme="minorHAnsi"/>
          <w:b/>
        </w:rPr>
        <w:t>.</w:t>
      </w:r>
      <w:r w:rsidRPr="00690151">
        <w:rPr>
          <w:rFonts w:cstheme="minorHAnsi"/>
          <w:b/>
        </w:rPr>
        <w:t xml:space="preserve"> Shah</w:t>
      </w:r>
      <w:r>
        <w:rPr>
          <w:rFonts w:cstheme="minorHAnsi"/>
          <w:b/>
          <w:vertAlign w:val="superscript"/>
        </w:rPr>
        <w:t>3</w:t>
      </w:r>
      <w:r w:rsidRPr="00690151">
        <w:rPr>
          <w:rFonts w:cstheme="minorHAnsi"/>
          <w:b/>
        </w:rPr>
        <w:t>, K</w:t>
      </w:r>
      <w:r>
        <w:rPr>
          <w:rFonts w:cstheme="minorHAnsi"/>
          <w:b/>
        </w:rPr>
        <w:t>.</w:t>
      </w:r>
      <w:r w:rsidRPr="00690151">
        <w:rPr>
          <w:rFonts w:cstheme="minorHAnsi"/>
          <w:b/>
        </w:rPr>
        <w:t xml:space="preserve"> Ellinas</w:t>
      </w:r>
      <w:r>
        <w:rPr>
          <w:rFonts w:cstheme="minorHAnsi"/>
          <w:b/>
          <w:vertAlign w:val="superscript"/>
        </w:rPr>
        <w:t>1</w:t>
      </w:r>
      <w:r w:rsidRPr="00690151">
        <w:rPr>
          <w:rFonts w:cstheme="minorHAnsi"/>
          <w:b/>
        </w:rPr>
        <w:t>, M</w:t>
      </w:r>
      <w:r>
        <w:rPr>
          <w:rFonts w:cstheme="minorHAnsi"/>
          <w:b/>
        </w:rPr>
        <w:t>.</w:t>
      </w:r>
      <w:r w:rsidRPr="00690151">
        <w:rPr>
          <w:rFonts w:cstheme="minorHAnsi"/>
          <w:b/>
        </w:rPr>
        <w:t xml:space="preserve"> Kappl</w:t>
      </w:r>
      <w:r>
        <w:rPr>
          <w:rFonts w:cstheme="minorHAnsi"/>
          <w:b/>
          <w:vertAlign w:val="superscript"/>
        </w:rPr>
        <w:t>3</w:t>
      </w:r>
      <w:r w:rsidRPr="00690151">
        <w:rPr>
          <w:rFonts w:cstheme="minorHAnsi"/>
          <w:b/>
        </w:rPr>
        <w:t>, A</w:t>
      </w:r>
      <w:r>
        <w:rPr>
          <w:rFonts w:cstheme="minorHAnsi"/>
          <w:b/>
        </w:rPr>
        <w:t>.</w:t>
      </w:r>
      <w:r w:rsidRPr="00690151">
        <w:rPr>
          <w:rFonts w:cstheme="minorHAnsi"/>
          <w:b/>
        </w:rPr>
        <w:t xml:space="preserve"> Sapalidis</w:t>
      </w:r>
      <w:r>
        <w:rPr>
          <w:rFonts w:cstheme="minorHAnsi"/>
          <w:b/>
          <w:vertAlign w:val="superscript"/>
        </w:rPr>
        <w:t>1</w:t>
      </w:r>
      <w:r w:rsidRPr="00690151">
        <w:rPr>
          <w:rFonts w:cstheme="minorHAnsi"/>
          <w:b/>
        </w:rPr>
        <w:t>,</w:t>
      </w:r>
      <w:r w:rsidRPr="00690151">
        <w:rPr>
          <w:rFonts w:cstheme="minorHAnsi"/>
          <w:b/>
          <w:color w:val="222222"/>
          <w:sz w:val="29"/>
          <w:szCs w:val="29"/>
          <w:shd w:val="clear" w:color="auto" w:fill="FFFFFF"/>
        </w:rPr>
        <w:t xml:space="preserve"> </w:t>
      </w:r>
      <w:r w:rsidRPr="00690151">
        <w:rPr>
          <w:rFonts w:cstheme="minorHAnsi"/>
          <w:b/>
        </w:rPr>
        <w:t>V</w:t>
      </w:r>
      <w:r>
        <w:rPr>
          <w:rFonts w:cstheme="minorHAnsi"/>
          <w:b/>
        </w:rPr>
        <w:t>.</w:t>
      </w:r>
      <w:r w:rsidRPr="00690151">
        <w:rPr>
          <w:rFonts w:cstheme="minorHAnsi"/>
          <w:b/>
        </w:rPr>
        <w:t xml:space="preserve"> Constantoudis</w:t>
      </w:r>
      <w:r>
        <w:rPr>
          <w:rFonts w:cstheme="minorHAnsi"/>
          <w:b/>
          <w:vertAlign w:val="superscript"/>
        </w:rPr>
        <w:t>1</w:t>
      </w:r>
      <w:r w:rsidRPr="00690151">
        <w:rPr>
          <w:rFonts w:cstheme="minorHAnsi"/>
          <w:b/>
        </w:rPr>
        <w:t>, H</w:t>
      </w:r>
      <w:r>
        <w:rPr>
          <w:rFonts w:cstheme="minorHAnsi"/>
          <w:b/>
        </w:rPr>
        <w:t xml:space="preserve">. </w:t>
      </w:r>
      <w:r w:rsidRPr="00690151">
        <w:rPr>
          <w:rFonts w:cstheme="minorHAnsi"/>
          <w:b/>
        </w:rPr>
        <w:t>J</w:t>
      </w:r>
      <w:r>
        <w:rPr>
          <w:rFonts w:cstheme="minorHAnsi"/>
          <w:b/>
        </w:rPr>
        <w:t xml:space="preserve">. </w:t>
      </w:r>
      <w:r w:rsidRPr="00690151">
        <w:rPr>
          <w:rFonts w:cstheme="minorHAnsi"/>
          <w:b/>
        </w:rPr>
        <w:t>Butt</w:t>
      </w:r>
      <w:r>
        <w:rPr>
          <w:rFonts w:cstheme="minorHAnsi"/>
          <w:b/>
          <w:vertAlign w:val="superscript"/>
        </w:rPr>
        <w:t>3</w:t>
      </w:r>
      <w:r w:rsidRPr="00690151">
        <w:rPr>
          <w:rFonts w:cstheme="minorHAnsi"/>
          <w:b/>
        </w:rPr>
        <w:t xml:space="preserve"> and E</w:t>
      </w:r>
      <w:r>
        <w:rPr>
          <w:rFonts w:cstheme="minorHAnsi"/>
          <w:b/>
        </w:rPr>
        <w:t>.</w:t>
      </w:r>
      <w:r w:rsidRPr="00690151">
        <w:rPr>
          <w:rFonts w:cstheme="minorHAnsi"/>
          <w:b/>
        </w:rPr>
        <w:t xml:space="preserve"> Gogolides</w:t>
      </w:r>
      <w:r>
        <w:rPr>
          <w:rFonts w:cstheme="minorHAnsi"/>
          <w:b/>
          <w:vertAlign w:val="superscript"/>
        </w:rPr>
        <w:t>1</w:t>
      </w:r>
    </w:p>
    <w:p w:rsidR="00C9385B" w:rsidRPr="00690151" w:rsidRDefault="00C9385B" w:rsidP="00C9385B">
      <w:pPr>
        <w:spacing w:line="240" w:lineRule="auto"/>
        <w:jc w:val="both"/>
        <w:rPr>
          <w:rFonts w:cstheme="minorHAnsi"/>
          <w:iCs/>
        </w:rPr>
      </w:pPr>
      <w:r>
        <w:rPr>
          <w:rFonts w:cstheme="minorHAnsi"/>
          <w:vertAlign w:val="superscript"/>
        </w:rPr>
        <w:t>1</w:t>
      </w:r>
      <w:r w:rsidRPr="00690151">
        <w:rPr>
          <w:rFonts w:cstheme="minorHAnsi"/>
          <w:iCs/>
        </w:rPr>
        <w:t xml:space="preserve">Institute of </w:t>
      </w:r>
      <w:proofErr w:type="spellStart"/>
      <w:r w:rsidRPr="00690151">
        <w:rPr>
          <w:rFonts w:cstheme="minorHAnsi"/>
          <w:iCs/>
        </w:rPr>
        <w:t>Nanoscience</w:t>
      </w:r>
      <w:proofErr w:type="spellEnd"/>
      <w:r w:rsidRPr="00690151">
        <w:rPr>
          <w:rFonts w:cstheme="minorHAnsi"/>
          <w:iCs/>
        </w:rPr>
        <w:t xml:space="preserve"> and Nanotechnology, NCSR </w:t>
      </w:r>
      <w:r w:rsidRPr="00690151">
        <w:rPr>
          <w:rFonts w:cstheme="minorHAnsi"/>
        </w:rPr>
        <w:t>“</w:t>
      </w:r>
      <w:proofErr w:type="spellStart"/>
      <w:r w:rsidRPr="00690151">
        <w:rPr>
          <w:rFonts w:cstheme="minorHAnsi"/>
          <w:iCs/>
        </w:rPr>
        <w:t>Demokritos</w:t>
      </w:r>
      <w:proofErr w:type="spellEnd"/>
      <w:r w:rsidRPr="00690151">
        <w:rPr>
          <w:rFonts w:cstheme="minorHAnsi"/>
        </w:rPr>
        <w:t>”</w:t>
      </w:r>
      <w:r w:rsidRPr="00690151">
        <w:rPr>
          <w:rFonts w:cstheme="minorHAnsi"/>
          <w:iCs/>
        </w:rPr>
        <w:t xml:space="preserve">, </w:t>
      </w:r>
      <w:proofErr w:type="spellStart"/>
      <w:r w:rsidRPr="00690151">
        <w:rPr>
          <w:rFonts w:cstheme="minorHAnsi"/>
          <w:iCs/>
        </w:rPr>
        <w:t>Aghia</w:t>
      </w:r>
      <w:proofErr w:type="spellEnd"/>
      <w:r w:rsidRPr="00690151">
        <w:rPr>
          <w:rFonts w:cstheme="minorHAnsi"/>
          <w:iCs/>
        </w:rPr>
        <w:t xml:space="preserve"> </w:t>
      </w:r>
      <w:proofErr w:type="spellStart"/>
      <w:r w:rsidRPr="00690151">
        <w:rPr>
          <w:rFonts w:cstheme="minorHAnsi"/>
          <w:iCs/>
        </w:rPr>
        <w:t>Paraskevi</w:t>
      </w:r>
      <w:proofErr w:type="spellEnd"/>
      <w:r w:rsidRPr="00690151">
        <w:rPr>
          <w:rFonts w:cstheme="minorHAnsi"/>
          <w:iCs/>
        </w:rPr>
        <w:t>, 15341, Attica, Greece</w:t>
      </w:r>
    </w:p>
    <w:p w:rsidR="00C9385B" w:rsidRPr="00690151" w:rsidRDefault="00C9385B" w:rsidP="00C9385B">
      <w:pPr>
        <w:spacing w:line="240" w:lineRule="auto"/>
        <w:jc w:val="both"/>
        <w:rPr>
          <w:rFonts w:cstheme="minorHAnsi"/>
          <w:iCs/>
          <w:color w:val="FF0000"/>
        </w:rPr>
      </w:pPr>
      <w:r>
        <w:rPr>
          <w:rFonts w:cstheme="minorHAnsi"/>
          <w:vertAlign w:val="superscript"/>
        </w:rPr>
        <w:t>2</w:t>
      </w:r>
      <w:r w:rsidRPr="00690151">
        <w:rPr>
          <w:rFonts w:cstheme="minorHAnsi"/>
        </w:rPr>
        <w:t xml:space="preserve">School of Mechanical Engineering, National Technical University of Athens, </w:t>
      </w:r>
      <w:proofErr w:type="spellStart"/>
      <w:r w:rsidRPr="00690151">
        <w:rPr>
          <w:rFonts w:cstheme="minorHAnsi"/>
        </w:rPr>
        <w:t>Zografou</w:t>
      </w:r>
      <w:proofErr w:type="spellEnd"/>
      <w:r w:rsidRPr="00690151">
        <w:rPr>
          <w:rFonts w:cstheme="minorHAnsi"/>
        </w:rPr>
        <w:t>, 15780, Attica, Greece</w:t>
      </w:r>
    </w:p>
    <w:p w:rsidR="00C9385B" w:rsidRPr="00690151" w:rsidRDefault="00C9385B" w:rsidP="00C9385B">
      <w:pPr>
        <w:spacing w:line="240" w:lineRule="auto"/>
        <w:jc w:val="both"/>
        <w:rPr>
          <w:rFonts w:cstheme="minorHAnsi"/>
          <w:iCs/>
        </w:rPr>
      </w:pPr>
      <w:r>
        <w:rPr>
          <w:rFonts w:cstheme="minorHAnsi"/>
          <w:vertAlign w:val="superscript"/>
        </w:rPr>
        <w:t>3</w:t>
      </w:r>
      <w:r w:rsidRPr="00690151">
        <w:rPr>
          <w:rFonts w:cstheme="minorHAnsi"/>
          <w:iCs/>
        </w:rPr>
        <w:t xml:space="preserve">Max Planck Institute for Polymer Research, </w:t>
      </w:r>
      <w:proofErr w:type="spellStart"/>
      <w:r w:rsidRPr="00690151">
        <w:rPr>
          <w:rFonts w:cstheme="minorHAnsi"/>
          <w:iCs/>
        </w:rPr>
        <w:t>Ackermannweg</w:t>
      </w:r>
      <w:proofErr w:type="spellEnd"/>
      <w:r w:rsidRPr="00690151">
        <w:rPr>
          <w:rFonts w:cstheme="minorHAnsi"/>
          <w:iCs/>
        </w:rPr>
        <w:t xml:space="preserve"> 10, Mainz, 55128, Germany</w:t>
      </w:r>
    </w:p>
    <w:p w:rsidR="00C9385B" w:rsidRPr="00690151" w:rsidRDefault="00C9385B" w:rsidP="00C9385B">
      <w:pPr>
        <w:spacing w:line="240" w:lineRule="auto"/>
        <w:jc w:val="center"/>
        <w:rPr>
          <w:rStyle w:val="hps"/>
          <w:rFonts w:cs="Times New Roman"/>
          <w:b/>
          <w:i/>
          <w:sz w:val="20"/>
          <w:szCs w:val="20"/>
          <w:lang w:val="en-US"/>
        </w:rPr>
      </w:pPr>
      <w:r w:rsidRPr="00690151">
        <w:rPr>
          <w:rFonts w:cstheme="minorHAnsi"/>
          <w:i/>
          <w:iCs/>
          <w:sz w:val="20"/>
          <w:szCs w:val="20"/>
          <w:lang w:val="de-DE"/>
        </w:rPr>
        <w:t>e-</w:t>
      </w:r>
      <w:proofErr w:type="spellStart"/>
      <w:r w:rsidRPr="00690151">
        <w:rPr>
          <w:rFonts w:cstheme="minorHAnsi"/>
          <w:i/>
          <w:iCs/>
          <w:sz w:val="20"/>
          <w:szCs w:val="20"/>
          <w:lang w:val="de-DE"/>
        </w:rPr>
        <w:t>mail</w:t>
      </w:r>
      <w:proofErr w:type="spellEnd"/>
      <w:r w:rsidRPr="00690151">
        <w:rPr>
          <w:rFonts w:cstheme="minorHAnsi"/>
          <w:i/>
          <w:iCs/>
          <w:sz w:val="20"/>
          <w:szCs w:val="20"/>
          <w:lang w:val="de-DE"/>
        </w:rPr>
        <w:t>: d.ioannou@inn.demokritos.gr</w:t>
      </w:r>
    </w:p>
    <w:p w:rsidR="00C9385B" w:rsidRPr="00690151" w:rsidRDefault="00C9385B" w:rsidP="00C9385B">
      <w:pPr>
        <w:spacing w:after="20" w:line="240" w:lineRule="auto"/>
        <w:jc w:val="both"/>
        <w:rPr>
          <w:rStyle w:val="hps"/>
          <w:rFonts w:cs="Times New Roman"/>
          <w:b/>
          <w:szCs w:val="24"/>
          <w:lang w:val="en-US"/>
        </w:rPr>
      </w:pPr>
      <w:r>
        <w:rPr>
          <w:rStyle w:val="hps"/>
          <w:rFonts w:cs="Times New Roman"/>
          <w:b/>
          <w:szCs w:val="24"/>
          <w:lang w:val="en-US"/>
        </w:rPr>
        <w:t>ABSTRACT</w:t>
      </w:r>
    </w:p>
    <w:p w:rsidR="00C9385B" w:rsidRDefault="00C9385B" w:rsidP="00C9385B">
      <w:pPr>
        <w:spacing w:line="240" w:lineRule="auto"/>
        <w:jc w:val="both"/>
        <w:rPr>
          <w:rFonts w:cstheme="minorHAnsi"/>
        </w:rPr>
      </w:pPr>
      <w:r w:rsidRPr="00613AA5">
        <w:rPr>
          <w:rFonts w:cstheme="minorHAnsi"/>
        </w:rPr>
        <w:t xml:space="preserve">Membrane distillation (MD), as a technique for high salinity </w:t>
      </w:r>
      <w:proofErr w:type="spellStart"/>
      <w:r w:rsidRPr="00613AA5">
        <w:rPr>
          <w:rFonts w:cstheme="minorHAnsi"/>
        </w:rPr>
        <w:t>feedwater</w:t>
      </w:r>
      <w:proofErr w:type="spellEnd"/>
      <w:r w:rsidRPr="00613AA5">
        <w:rPr>
          <w:rFonts w:cstheme="minorHAnsi"/>
        </w:rPr>
        <w:t xml:space="preserve"> treatment, receives increasing interest since many regions of the world are facing water scar</w:t>
      </w:r>
      <w:r>
        <w:rPr>
          <w:rFonts w:cstheme="minorHAnsi"/>
        </w:rPr>
        <w:t>c</w:t>
      </w:r>
      <w:r w:rsidRPr="00613AA5">
        <w:rPr>
          <w:rFonts w:cstheme="minorHAnsi"/>
        </w:rPr>
        <w:t xml:space="preserve">ity and the demands for clean water are rising. </w:t>
      </w:r>
      <w:r>
        <w:rPr>
          <w:rFonts w:cstheme="minorHAnsi"/>
        </w:rPr>
        <w:t>T</w:t>
      </w:r>
      <w:r w:rsidRPr="00613AA5">
        <w:rPr>
          <w:rFonts w:cstheme="minorHAnsi"/>
        </w:rPr>
        <w:t>o be capable of desalination a membrane needs to be porous, in order to allow water vapour to pass through and also hydrophobic, in order to prevent mass transfer of liquids and resist capillary condensation</w:t>
      </w:r>
      <w:r>
        <w:rPr>
          <w:rFonts w:cstheme="minorHAnsi"/>
        </w:rPr>
        <w:t xml:space="preserve"> within the pores</w:t>
      </w:r>
      <w:r w:rsidRPr="00613AA5">
        <w:rPr>
          <w:rFonts w:cstheme="minorHAnsi"/>
        </w:rPr>
        <w:t xml:space="preserve">. </w:t>
      </w:r>
      <w:r w:rsidRPr="00976F64">
        <w:rPr>
          <w:rFonts w:cstheme="minorHAnsi"/>
        </w:rPr>
        <w:t xml:space="preserve">While there are several MD methods, in this work we focus on </w:t>
      </w:r>
      <w:r>
        <w:rPr>
          <w:rFonts w:cstheme="minorHAnsi"/>
        </w:rPr>
        <w:t>Direct Contact Membrane Distillation (DCMD). In this method t</w:t>
      </w:r>
      <w:r w:rsidRPr="00613AA5">
        <w:rPr>
          <w:rFonts w:cstheme="minorHAnsi"/>
        </w:rPr>
        <w:t xml:space="preserve">he membrane </w:t>
      </w:r>
      <w:r>
        <w:rPr>
          <w:rFonts w:cstheme="minorHAnsi"/>
        </w:rPr>
        <w:t>is</w:t>
      </w:r>
      <w:r w:rsidRPr="00613AA5">
        <w:rPr>
          <w:rFonts w:cstheme="minorHAnsi"/>
        </w:rPr>
        <w:t xml:space="preserve"> in contact with liquid</w:t>
      </w:r>
      <w:r>
        <w:rPr>
          <w:rFonts w:cstheme="minorHAnsi"/>
        </w:rPr>
        <w:t>s on both sides</w:t>
      </w:r>
      <w:r w:rsidRPr="00613AA5">
        <w:rPr>
          <w:rFonts w:cstheme="minorHAnsi"/>
        </w:rPr>
        <w:t xml:space="preserve"> and due to temperature difference between the two </w:t>
      </w:r>
      <w:r>
        <w:rPr>
          <w:rFonts w:cstheme="minorHAnsi"/>
        </w:rPr>
        <w:t>streams</w:t>
      </w:r>
      <w:r w:rsidRPr="00613AA5">
        <w:rPr>
          <w:rFonts w:cstheme="minorHAnsi"/>
        </w:rPr>
        <w:t xml:space="preserve">, water vapour from the hot feed solution passes through the pores and condenses on </w:t>
      </w:r>
      <w:r>
        <w:rPr>
          <w:rFonts w:cstheme="minorHAnsi"/>
          <w:lang w:val="en-US"/>
        </w:rPr>
        <w:t xml:space="preserve">the cold solution on </w:t>
      </w:r>
      <w:r w:rsidRPr="00613AA5">
        <w:rPr>
          <w:rFonts w:cstheme="minorHAnsi"/>
        </w:rPr>
        <w:t>the other side</w:t>
      </w:r>
      <w:r>
        <w:rPr>
          <w:rFonts w:cstheme="minorHAnsi"/>
        </w:rPr>
        <w:t xml:space="preserve"> </w:t>
      </w:r>
      <w:r>
        <w:rPr>
          <w:rStyle w:val="a9"/>
          <w:rFonts w:cstheme="minorHAnsi"/>
        </w:rPr>
        <w:fldChar w:fldCharType="begin" w:fldLock="1"/>
      </w:r>
      <w:r>
        <w:rPr>
          <w:rFonts w:cstheme="minorHAnsi"/>
        </w:rPr>
        <w:instrText>ADDIN CSL_CITATION {"citationItems":[{"id":"ITEM-1","itemData":{"author":[{"dropping-particle":"","family":"Lawson","given":"Kevin W","non-dropping-particle":"","parse-names":false,"suffix":""},{"dropping-particle":"","family":"Lloyd","given":"Douglas R","non-dropping-particle":"","parse-names":false,"suffix":""}],"id":"ITEM-1","issued":{"date-parts":[["1997"]]},"page":"1-25","title":"Membrane distillation","type":"article-journal","volume":"124"},"uris":["http://www.mendeley.com/documents/?uuid=d773b01a-f463-471f-a749-d355fd71b0f6"]}],"mendeley":{"formattedCitation":"[1]","plainTextFormattedCitation":"[1]","previouslyFormattedCitation":"[1]"},"properties":{"noteIndex":0},"schema":"https://github.com/citation-style-language/schema/raw/master/csl-citation.json"}</w:instrText>
      </w:r>
      <w:r>
        <w:rPr>
          <w:rStyle w:val="a9"/>
          <w:rFonts w:cstheme="minorHAnsi"/>
        </w:rPr>
        <w:fldChar w:fldCharType="separate"/>
      </w:r>
      <w:r w:rsidRPr="00035000">
        <w:rPr>
          <w:rFonts w:cstheme="minorHAnsi"/>
          <w:bCs/>
          <w:noProof/>
          <w:lang w:val="en-US"/>
        </w:rPr>
        <w:t>[1]</w:t>
      </w:r>
      <w:r>
        <w:rPr>
          <w:rStyle w:val="a9"/>
          <w:rFonts w:cstheme="minorHAnsi"/>
        </w:rPr>
        <w:fldChar w:fldCharType="end"/>
      </w:r>
      <w:r>
        <w:rPr>
          <w:rFonts w:cstheme="minorHAnsi"/>
        </w:rPr>
        <w:t xml:space="preserve">. </w:t>
      </w:r>
      <w:r w:rsidRPr="00613AA5">
        <w:rPr>
          <w:rFonts w:cstheme="minorHAnsi"/>
        </w:rPr>
        <w:t xml:space="preserve">Recently </w:t>
      </w:r>
      <w:proofErr w:type="spellStart"/>
      <w:r w:rsidRPr="00613AA5">
        <w:rPr>
          <w:rFonts w:cstheme="minorHAnsi"/>
        </w:rPr>
        <w:t>superhydrophobicity</w:t>
      </w:r>
      <w:proofErr w:type="spellEnd"/>
      <w:r w:rsidRPr="00613AA5">
        <w:rPr>
          <w:rFonts w:cstheme="minorHAnsi"/>
        </w:rPr>
        <w:t xml:space="preserve"> became a requirement in membrane fabrication and modification since it has been proven to improve performance in terms of distilled water flux, stability, scaling and fouling resistance in long-term MD operations</w:t>
      </w:r>
      <w:r>
        <w:rPr>
          <w:rFonts w:cstheme="minorHAnsi"/>
        </w:rPr>
        <w:t xml:space="preserve"> </w:t>
      </w:r>
      <w:r>
        <w:rPr>
          <w:rStyle w:val="a9"/>
          <w:rFonts w:cstheme="minorHAnsi"/>
        </w:rPr>
        <w:fldChar w:fldCharType="begin" w:fldLock="1"/>
      </w:r>
      <w:r>
        <w:rPr>
          <w:rFonts w:cstheme="minorHAnsi"/>
        </w:rPr>
        <w:instrText>ADDIN CSL_CITATION {"citationItems":[{"id":"ITEM-1","itemData":{"DOI":"10.1016/j.jiec.2020.08.005","ISSN":"22345957","abstract":"The development of superhydrophobic membranes had inspired by superhydrophobic surfaces of biomimetic nature. Among the superhydrophobic nature surface, ‘lotus effect’ with a contact angle of 150° has been widely explored for membrane distillation. In a recent development, membrane distillation highlighting the new interest of different separation approaches such as removal of metals, antibiotics, and ammonia from wastewater. This development has attracted researchers to produce a desired superhydrophobic membrane with excellent anti-wetting properties to ensure the efficiency of the membrane distillation process. In this review, the authors emphasize a few studies from various researchers regarding the superhydrophobic membrane surfaces by the different approaches of materials, methods, and membrane configurations in achieving desired anti-wetting properties. The literature showed that the incorporation of the modified nanoparticle by fluoroalkyl silane (FAS) and electrospinning membrane configuration has high potential properties to produce a novel anti-wetting membrane for a unique requirement of the membrane distillation process. Factors of the significant improvement in membrane performances have also proposed for large-scale demand. The versatility of the desired anti-wetting membrane has proved to use in the vast areas of applications.","author":[{"dropping-particle":"","family":"Wae AbdulKadir","given":"Wan Aisyah Fadilah","non-dropping-particle":"","parse-names":false,"suffix":""},{"dropping-particle":"","family":"Ahmad","given":"Abdul Latif","non-dropping-particle":"","parse-names":false,"suffix":""},{"dropping-particle":"","family":"Seng","given":"Ooi Boon","non-dropping-particle":"","parse-names":false,"suffix":""},{"dropping-particle":"","family":"Che Lah","given":"Nuur Fahanis","non-dropping-particle":"","parse-names":false,"suffix":""}],"container-title":"Journal of Industrial and Engineering Chemistry","id":"ITEM-1","issued":{"date-parts":[["2020"]]},"page":"15-36","publisher":"The Korean Society of Industrial and Engineering Chemistry","title":"Biomimetic hydrophobic membrane: A review of anti-wetting properties as a potential factor in membrane development for membrane distillation (MD)","type":"article-journal","volume":"91"},"uris":["http://www.mendeley.com/documents/?uuid=de746b6b-a6d7-494a-880b-db7d672c4c25"]},{"id":"ITEM-2","itemData":{"DOI":"10.1002/adfm.201902905","ISSN":"16163028","abstract":"Superhydrophobic surfaces are extensively investigated in the literature, yet the phenomenon of drop motion on such surfaces and the corresponding friction properties of surfaces with different topography are not sufficiently analyzed. Here, drop motion on hydrophobic and superhydrophobic surfaces with different size topography is investigated for drops of largely varying viscosity (i.e., water and glycerol). The threshold force required to initiate drop movement is probed, the drop motion (velocity and acceleration) is analyzed, and the friction force on each surface is calculated. It is evident that as roughness increases, the threshold force to initiate 20 µL drop motion decreases; the lowest value for water is 17.9 ± 4.0 µN. For glycerol, the lowest threshold force value is 22.3 ± 5.9 µN. The results also indicate that this threshold force required for the initiation of the drop motion seems to be higher than that when the drop starts moving. Finally, this force (being proportional to the contact line) is expected to be about half smaller for 5 µL droplets. Water drops obtain higher velocities and accelerations by an order of magnitude compared to glycerol drops, which is attributed to the combinational effect of the higher hysteresis and the larger contact line of glycerol drops.","author":[{"dropping-particle":"","family":"Sarkiris","given":"Panagiotis","non-dropping-particle":"","parse-names":false,"suffix":""},{"dropping-particle":"","family":"Ellinas","given":"Kosmas","non-dropping-particle":"","parse-names":false,"suffix":""},{"dropping-particle":"","family":"Gkiolas","given":"Dimitris","non-dropping-particle":"","parse-names":false,"suffix":""},{"dropping-particle":"","family":"Mathioulakis","given":"Dimitrios","non-dropping-particle":"","parse-names":false,"suffix":""},{"dropping-particle":"","family":"Gogolides","given":"Evangelos","non-dropping-particle":"","parse-names":false,"suffix":""}],"container-title":"Advanced Functional Materials","id":"ITEM-2","issue":"35","issued":{"date-parts":[["2019"]]},"page":"1-8","title":"Motion of Drops with Different Viscosities on Micro-Nanotextured Surfaces of Varying Topography and Wetting Properties","type":"article-journal","volume":"29"},"uris":["http://www.mendeley.com/documents/?uuid=3a664d20-4e7f-46a1-a8a0-099a2ca47516"]},{"id":"ITEM-3","itemData":{"DOI":"10.1021/acsami.7b11402","ISSN":"19448252","PMID":"29058866","abstract":"The realization of antibacterial surfaces is an important scientific problem, which may be addressed by the use of superhydrophobic surfaces, reducing bacterial adhesion. However, there are several limitations and contradicting reports on the antibacterial efficacy of such surfaces. Moreover, achieving antibacterial action through minimization of adhesion does not ensure complete protection against bacteria. Here, we identify the important factors affecting antibacterial action on superhydrophobic surfaces, emphasizing the role of bacterial concentration, and observing an upper concentration threshold above which antibacterial action of any surface is compromised. Finally, we propose metal enriched, superhydrophobic surfaces, as the \"ultimate\" \"hybrid\" antibacterial surfaces for in vitro applications.","author":[{"dropping-particle":"","family":"Ellinas","given":"Kosmas","non-dropping-particle":"","parse-names":false,"suffix":""},{"dropping-particle":"","family":"Kefallinou","given":"Dionysia","non-dropping-particle":"","parse-names":false,"suffix":""},{"dropping-particle":"","family":"Stamatakis","given":"Kostas","non-dropping-particle":"","parse-names":false,"suffix":""},{"dropping-particle":"","family":"Gogolides","given":"Evangelos","non-dropping-particle":"","parse-names":false,"suffix":""},{"dropping-particle":"","family":"Tserepi","given":"Angeliki","non-dropping-particle":"","parse-names":false,"suffix":""}],"container-title":"ACS Applied Materials and Interfaces","id":"ITEM-3","issue":"45","issued":{"date-parts":[["2017"]]},"page":"39781-39789","title":"Is There a Threshold in the Antibacterial Action of Superhydrophobic Surfaces?","type":"article-journal","volume":"9"},"uris":["http://www.mendeley.com/documents/?uuid=4b0ec84f-54a8-4793-9cac-d641cbc56aa6"]},{"id":"ITEM-4","itemData":{"DOI":"https://doi.org/10.1002/mame.202000694","ISSN":"1438-7492","abstract":"Abstract The use of antibacterial surfaces is an effective way to reduce exposure to pathogens and therefore infections. Several methods to fabricate antibacterial surfaces using surface modification methods as well as a bactericidal agent incorporation inside materials have been reported. However, in most cases the factors affecting the antibacterial behavior of a surface are not discussed in detail. Here, a comparative study on the antibacterial properties of surfaces with different characteristics against Gram-negative bacteria (Escherichia coli) under dynamic conditions is presented, aiming to unravel the interplay among the most important factors when realizing an antibacterial surface, that is, surface morphology, wetting properties, and the use of a bactericidal agent. Significant bactericidal efficacy for the micro-nanotextured, superhydrophilic surfaces is demonstrated, possibly due to a mechanical killing induced by the interaction of bacteria with the micro-nanotopography. On the other hand, superhydrophobic surfaces without any bactericidal agent exhibit low interaction with the bacteria containing medium and therefore lower bactericidal action, whereas superhydrophobic surfaces with a bactericidal agent exhibit extreme non-wetting properties and rapid bactericidal effect through release of Cu particles. Finally, the role of the hydrophobic coating as barrier against uncontrolled release of the bactericidal agent when deposited as top layer is also showcased.","author":[{"dropping-particle":"","family":"Dimitrakellis","given":"Panagiotis","non-dropping-particle":"","parse-names":false,"suffix":""},{"dropping-particle":"","family":"Ellinas","given":"Kosmas","non-dropping-particle":"","parse-names":false,"suffix":""},{"dropping-particle":"","family":"Kaprou","given":"Georgia D","non-dropping-particle":"","parse-names":false,"suffix":""},{"dropping-particle":"","family":"Mastellos","given":"Dimitrios C","non-dropping-particle":"","parse-names":false,"suffix":""},{"dropping-particle":"","family":"Tserepi","given":"Angeliki","non-dropping-particle":"","parse-names":false,"suffix":""},{"dropping-particle":"","family":"Gogolides","given":"Evangelos","non-dropping-particle":"","parse-names":false,"suffix":""}],"container-title":"Macromolecular Materials and Engineering","id":"ITEM-4","issue":"n/a","issued":{"date-parts":[["2021","2","23"]]},"note":"https://doi.org/10.1002/mame.202000694","page":"2000694","publisher":"John Wiley &amp; Sons, Ltd","title":"Bactericidal Action of Smooth and Plasma Micro-Nanotextured Polymeric Surfaces with Varying Wettability, Enhanced by Incorporation of a Biocidal Agent","type":"article-journal","volume":"n/a"},"uris":["http://www.mendeley.com/documents/?uuid=ab345d05-08f8-4c44-b0e2-0182521ed618"]},{"id":"ITEM-5","itemData":{"DOI":"10.1016/j.desal.2020.114864","ISSN":"00119164","abstract":"Membrane distillation has shown great promises in desalinating various water streams. Significant progresses have been made in the past decades owing to the development of advanced membrane materials, such as superhydrophobic and omniphobic membranes. However, fouling and scaling remains a critical issue for stable operation. This account summarizes contemporary theories in fouling and scaling formation and their limitations in explaining the fouling resistance of superhydrophobic and omniphobic membranes. A new understanding is proposed based on hydrodynamics where non-slip boundary conditions play a critical role. By distinguishing a pinned and suspended wetting state, it is suggested that a superhydrophobic or omniphobic membrane correlates to a suspended wetting state, consequently a slip surface leading to scaling/fouling resistance. A new framework for analyzing the fouling/scaling behavior of MD membrane is provided to identify the wetting and hydrodynamic character of the membrane. A novel concept of treating the highly saline waste streams is suggested to cover membrane synthesis, module design and process optimization. The present work will be of interest to scientists and engineers searching for solutions to the MD fouling issues.","author":[{"dropping-particle":"","family":"Liu","given":"Li","non-dropping-particle":"","parse-names":false,"suffix":""},{"dropping-particle":"","family":"Xiao","given":"Zechun","non-dropping-particle":"","parse-names":false,"suffix":""},{"dropping-particle":"","family":"Liu","given":"Yongjie","non-dropping-particle":"","parse-names":false,"suffix":""},{"dropping-particle":"","family":"Li","given":"Xuemei","non-dropping-particle":"","parse-names":false,"suffix":""},{"dropping-particle":"","family":"Yin","given":"Huabing","non-dropping-particle":"","parse-names":false,"suffix":""},{"dropping-particle":"","family":"Volkov","given":"Alexey","non-dropping-particle":"","parse-names":false,"suffix":""},{"dropping-particle":"","family":"He","given":"Tao","non-dropping-particle":"","parse-names":false,"suffix":""}],"container-title":"Desalination","id":"ITEM-5","issue":"November 2020","issued":{"date-parts":[["2021"]]},"page":"114864","publisher":"Elsevier B.V.","title":"Understanding the fouling/scaling resistance of superhydrophobic/omniphobic membranes in membrane distillation","type":"article-journal","volume":"499"},"uris":["http://www.mendeley.com/documents/?uuid=04e199e1-e948-42e4-9454-dd2f61a27f98"]},{"id":"ITEM-6","itemData":{"DOI":"10.1016/j.desal.2020.114312","ISSN":"00119164","abstract":"Membrane distillation (MD) is an alternative membrane technology that offers the capacity to treat highly saline water including industrial wastewater, seawater, brine water from other processes, and oil-gas field produced water. However, conventional hydrophobic membranes suffer fast wetting and severe fouling especially when low surface tension chemicals exist in saline water, which compromises the performance of MD. Recent advances in material science and nanomaterials research have led to the incorporation of special wetting properties on membrane surfaces. Membranes with special wettability can achieve high resistance against membrane fouling and wetting, as well as overcome the trade-off between membrane permeability and selectivity. This review summarizes the progress and recent development of studies on MD membranes with special wettability. Firstly, the fundamental concepts pertaining to membrane surface wettability including insights of their benefits and potential issues are highlighted in this review. Secondly, fabrication methods and applications of membranes utilizing various special wettability are discussed in detail, along with their challenges. Finally, this review concludes the advantages of membranes with special wettability and demonstrates potential solutions to the above-mentioned challenges for future research in high saline wastewater treatment.","author":[{"dropping-particle":"","family":"Yao","given":"Minwei","non-dropping-particle":"","parse-names":false,"suffix":""},{"dropping-particle":"","family":"Tijing","given":"Leonard D.","non-dropping-particle":"","parse-names":false,"suffix":""},{"dropping-particle":"","family":"Naidu","given":"Gayathri","non-dropping-particle":"","parse-names":false,"suffix":""},{"dropping-particle":"","family":"Kim","given":"Seung Hyun","non-dropping-particle":"","parse-names":false,"suffix":""},{"dropping-particle":"","family":"Matsuyama","given":"Hideto","non-dropping-particle":"","parse-names":false,"suffix":""},{"dropping-particle":"","family":"Fane","given":"Anthony G.","non-dropping-particle":"","parse-names":false,"suffix":""},{"dropping-particle":"","family":"Shon","given":"Ho Kyong","non-dropping-particle":"","parse-names":false,"suffix":""}],"container-title":"Desalination","id":"ITEM-6","issue":"December 2019","issued":{"date-parts":[["2020"]]},"page":"114312","publisher":"Elsevier","title":"A review of membrane wettability for the treatment of saline water deploying membrane distillation","type":"article-journal","volume":"479"},"uris":["http://www.mendeley.com/documents/?uuid=ca7d3903-f722-4038-a3a9-eb325422ad6c"]}],"mendeley":{"formattedCitation":"[2]–[7]","plainTextFormattedCitation":"[2]–[7]","previouslyFormattedCitation":"[2]–[7]"},"properties":{"noteIndex":0},"schema":"https://github.com/citation-style-language/schema/raw/master/csl-citation.json"}</w:instrText>
      </w:r>
      <w:r>
        <w:rPr>
          <w:rStyle w:val="a9"/>
          <w:rFonts w:cstheme="minorHAnsi"/>
        </w:rPr>
        <w:fldChar w:fldCharType="separate"/>
      </w:r>
      <w:r w:rsidRPr="00035000">
        <w:rPr>
          <w:rFonts w:cstheme="minorHAnsi"/>
          <w:bCs/>
          <w:noProof/>
          <w:lang w:val="en-US"/>
        </w:rPr>
        <w:t>[2]–[7]</w:t>
      </w:r>
      <w:r>
        <w:rPr>
          <w:rStyle w:val="a9"/>
          <w:rFonts w:cstheme="minorHAnsi"/>
        </w:rPr>
        <w:fldChar w:fldCharType="end"/>
      </w:r>
      <w:r w:rsidRPr="000377C4">
        <w:rPr>
          <w:rFonts w:cstheme="minorHAnsi"/>
          <w:lang w:val="en-US"/>
        </w:rPr>
        <w:t xml:space="preserve">. </w:t>
      </w:r>
      <w:r w:rsidRPr="00613AA5">
        <w:rPr>
          <w:rFonts w:cstheme="minorHAnsi"/>
        </w:rPr>
        <w:t>In this work we introduce a novel and environmentally friendly method by means of plasma micro-</w:t>
      </w:r>
      <w:proofErr w:type="spellStart"/>
      <w:r w:rsidRPr="00613AA5">
        <w:rPr>
          <w:rFonts w:cstheme="minorHAnsi"/>
        </w:rPr>
        <w:t>nanotexturing</w:t>
      </w:r>
      <w:proofErr w:type="spellEnd"/>
      <w:r w:rsidRPr="00613AA5">
        <w:rPr>
          <w:rFonts w:cstheme="minorHAnsi"/>
        </w:rPr>
        <w:t xml:space="preserve"> followed by plasma deposition for transforming commercial membranes, both hydrophobic and h</w:t>
      </w:r>
      <w:r>
        <w:rPr>
          <w:rFonts w:cstheme="minorHAnsi"/>
        </w:rPr>
        <w:t xml:space="preserve">ydrophilic, to </w:t>
      </w:r>
      <w:proofErr w:type="spellStart"/>
      <w:r>
        <w:rPr>
          <w:rFonts w:cstheme="minorHAnsi"/>
        </w:rPr>
        <w:t>superhydrophobic</w:t>
      </w:r>
      <w:proofErr w:type="spellEnd"/>
      <w:r w:rsidRPr="00613AA5">
        <w:rPr>
          <w:rFonts w:cstheme="minorHAnsi"/>
        </w:rPr>
        <w:t xml:space="preserve"> </w:t>
      </w:r>
      <w:r>
        <w:rPr>
          <w:rStyle w:val="a9"/>
          <w:rFonts w:cstheme="minorHAnsi"/>
        </w:rPr>
        <w:fldChar w:fldCharType="begin" w:fldLock="1"/>
      </w:r>
      <w:r>
        <w:rPr>
          <w:rFonts w:cstheme="minorHAnsi"/>
        </w:rPr>
        <w:instrText>ADDIN CSL_CITATION {"citationItems":[{"id":"ITEM-1","itemData":{"DOI":"10.1016/j.mee.2014.10.002","ISSN":"0167-9317","author":[{"dropping-particle":"","family":"Gogolides","given":"Evangelos","non-dropping-particle":"","parse-names":false,"suffix":""},{"dropping-particle":"","family":"Ellinas","given":"Kosmas","non-dropping-particle":"","parse-names":false,"suffix":""},{"dropping-particle":"","family":"Tserepi","given":"Angeliki","non-dropping-particle":"","parse-names":false,"suffix":""}],"container-title":"Microelectronic Engineering","id":"ITEM-1","issued":{"date-parts":[["2015"]]},"page":"135-155","publisher":"Elsevier B.V.","title":"Microelectronic Engineering Hierarchical micro and nano structured , hydrophilic , superhydrophobic and superoleophobic surfaces incorporated in microfluidics , microarrays and lab on chip microsystems","type":"article-journal","volume":"132"},"uris":["http://www.mendeley.com/documents/?uuid=5c09c5b0-a1f2-48e5-ad40-7f1d17042bd2"]},{"id":"ITEM-2","itemData":{"DOI":"10.1021/la104481p","ISSN":"07437463","abstract":"Ordered, hierarchical (triple-scale), superhydrophobic, oleophobic, superoleophobic, and amphiphilic surfaces on poly(methyl methacrylate) PMMA polymer substrates are fabricated using polystyrene (PS) microparticle colloidal lithography, followed by oxygen plasma etching-nanotexturing (for amphiphilic surfaces) and optional subsequent fluorocarbon plasma deposition (for amphiphobic surfaces). The PS colloidal microparticles were assembled by spin-coating. After etching/nanotexturing, the PMMA plates are amphiphilic and exhibit hierarchical (triple-scale) roughness with microscale ordered columns, and dual-scale (hundred nano/ten nano meter) nanoscale texture on the particles (top of the column) and on the etched PMMA surface. The spacing, diameter, height, and reentrant profile of the microcolumns are controlled with the etching process. Following the design requirements for superamphiphobic surfaces, we demonstrate enhancement of both hydrophobicity and oleophobicity as a result of hierarchical (triple-scale) and re-entrant topography. After fluorocarbon film deposition, we demonstrate superhydrophobic surfaces (contact angle for water 168°, compared to 110° for a flat surface), as well as superoleophobic surfaces (153° for diiodomethane, compared to 80° for a flat surface). © 2011 American Chemical Society.","author":[{"dropping-particle":"","family":"Ellinas","given":"K.","non-dropping-particle":"","parse-names":false,"suffix":""},{"dropping-particle":"","family":"Tserepi","given":"A.","non-dropping-particle":"","parse-names":false,"suffix":""},{"dropping-particle":"","family":"Gogolides","given":"E.","non-dropping-particle":"","parse-names":false,"suffix":""}],"container-title":"Langmuir","id":"ITEM-2","issue":"7","issued":{"date-parts":[["2011"]]},"page":"3960-3969","title":"From superamphiphobic to amphiphilic polymeric surfaces with ordered hierarchical roughness fabricated with colloidal lithography and plasma nanotexturing","type":"article-journal","volume":"27"},"uris":["http://www.mendeley.com/documents/?uuid=c6a94bd6-c410-46d2-a608-99033bcb9a72"]},{"id":"ITEM-3","itemData":{"DOI":"10.1002/ppap.201100124","ISSN":"16128850","abstract":"Plasma etched and simultaneously randomly roughened (nanotextured) polymethylmethacrylate (PMMA) substrates show hierarchical roughness and complex high-aspect-ratio morphology. Here, they are investigated as superamphiphobic surfaces, after plasma deposition of a thin fluorocarbon film. Inspired by the need to allow their \"real world\" use, we explore two major stability issues of such superamphiphobic surfaces: (i) the structural stability of the nanotexture against capillary and adhesion forces during successive wetting-drying cycles, and (ii) the thermodynamic stability (robustness) of these surfaces related to the maximum sustainable pressure of the Cassie-Baxter inhomogeneous wetting state. We show that surfaces etched in oxygen plasma up to 4 min (with texture height ≈600 nm) are stable against successive wetting-drying cycles, while surfaces treated for longer time show highly porous nanofibrous morphology which is coalesced and stabilized upon wetting, allowing their potential long-term use. Robust superhydrophobic and superoleophobic behavior is observed in drop compression tests with water (on 2, 4, 10 min plasma etched surfaces) and diiodomethane (on 4 and 10 min plasma etched surfaces), respectively, and no wetting transition is observed for these two liquids even at maximum drop compression possible (1.5 kPa). Robust oleophobic behavior with sticky surfaces is observed for 1 and 2 min etching and with diiodomethane without transition to wetted states even upon maximum compression. On the contrary, wetting transition is observed for soya oil upon repeated compression. High-Aspect-Ratio polymeric nanowires (nanotexture) are formed on polymer surfaces as a result of plasma etching. We overcome their fragility by coalescence after water immersion/drying, and hydrophobize them with a plasma-deposited fluorocarbon layer. Reversible, robust superamphiphobic behavior is observed in drop compression tests with water and diiodomethane at maximum compression possible. Copyright © 2012 WILEY-VCH Verlag GmbH &amp; Co. KGaA, Weinheim.","author":[{"dropping-particle":"","family":"Gnanappa","given":"Arun Kumar","non-dropping-particle":"","parse-names":false,"suffix":""},{"dropping-particle":"","family":"Papageorgiou","given":"Dimitrios P.","non-dropping-particle":"","parse-names":false,"suffix":""},{"dropping-particle":"","family":"Gogolides","given":"Evangelos","non-dropping-particle":"","parse-names":false,"suffix":""},{"dropping-particle":"","family":"Tserepi","given":"Angeliki","non-dropping-particle":"","parse-names":false,"suffix":""},{"dropping-particle":"","family":"Papathanasiou","given":"Athanasios G.","non-dropping-particle":"","parse-names":false,"suffix":""},{"dropping-particle":"","family":"Boudouvis","given":"Andreas G.","non-dropping-particle":"","parse-names":false,"suffix":""}],"container-title":"Plasma Processes and Polymers","id":"ITEM-3","issue":"3","issued":{"date-parts":[["2012"]]},"page":"304-315","title":"Hierarchical, plasma nanotextured, robust superamphiphobic polymeric surfaces structurally stabilized through a wetting-drying cycle","type":"article-journal","volume":"9"},"uris":["http://www.mendeley.com/documents/?uuid=a279f528-bba3-41dc-9d14-b61c1e163666"]}],"mendeley":{"formattedCitation":"[8]–[10]","plainTextFormattedCitation":"[8]–[10]","previouslyFormattedCitation":"[8]–[10]"},"properties":{"noteIndex":0},"schema":"https://github.com/citation-style-language/schema/raw/master/csl-citation.json"}</w:instrText>
      </w:r>
      <w:r>
        <w:rPr>
          <w:rStyle w:val="a9"/>
          <w:rFonts w:cstheme="minorHAnsi"/>
        </w:rPr>
        <w:fldChar w:fldCharType="separate"/>
      </w:r>
      <w:r w:rsidRPr="00035000">
        <w:rPr>
          <w:rFonts w:cstheme="minorHAnsi"/>
          <w:noProof/>
        </w:rPr>
        <w:t>[8]–[10]</w:t>
      </w:r>
      <w:r>
        <w:rPr>
          <w:rStyle w:val="a9"/>
          <w:rFonts w:cstheme="minorHAnsi"/>
        </w:rPr>
        <w:fldChar w:fldCharType="end"/>
      </w:r>
      <w:r w:rsidRPr="000377C4">
        <w:rPr>
          <w:rFonts w:cstheme="minorHAnsi"/>
          <w:lang w:val="en-US"/>
        </w:rPr>
        <w:t xml:space="preserve">. </w:t>
      </w:r>
      <w:r w:rsidRPr="00613AA5">
        <w:rPr>
          <w:rFonts w:cstheme="minorHAnsi"/>
        </w:rPr>
        <w:t xml:space="preserve">To this direction, we </w:t>
      </w:r>
      <w:r>
        <w:rPr>
          <w:rFonts w:cstheme="minorHAnsi"/>
        </w:rPr>
        <w:t>render</w:t>
      </w:r>
      <w:r w:rsidRPr="00613AA5">
        <w:rPr>
          <w:rFonts w:cstheme="minorHAnsi"/>
        </w:rPr>
        <w:t xml:space="preserve"> </w:t>
      </w:r>
      <w:proofErr w:type="spellStart"/>
      <w:r w:rsidRPr="00613AA5">
        <w:rPr>
          <w:rFonts w:cstheme="minorHAnsi"/>
        </w:rPr>
        <w:t>superhydrophobic</w:t>
      </w:r>
      <w:proofErr w:type="spellEnd"/>
      <w:r w:rsidRPr="00613AA5">
        <w:rPr>
          <w:rFonts w:cstheme="minorHAnsi"/>
        </w:rPr>
        <w:t xml:space="preserve"> initially hydrophobic </w:t>
      </w:r>
      <w:proofErr w:type="spellStart"/>
      <w:r w:rsidRPr="00613AA5">
        <w:rPr>
          <w:rFonts w:cstheme="minorHAnsi"/>
        </w:rPr>
        <w:t>Polytetrafluoroethylene</w:t>
      </w:r>
      <w:proofErr w:type="spellEnd"/>
      <w:r w:rsidRPr="00613AA5">
        <w:rPr>
          <w:rFonts w:cstheme="minorHAnsi"/>
        </w:rPr>
        <w:t xml:space="preserve"> (PTFE) as well as initially hydrophilic Cellulose acetate (CA) membranes</w:t>
      </w:r>
      <w:r>
        <w:rPr>
          <w:rFonts w:cstheme="minorHAnsi"/>
        </w:rPr>
        <w:t>. All plasma treated membranes</w:t>
      </w:r>
      <w:r w:rsidRPr="00613AA5">
        <w:rPr>
          <w:rFonts w:cstheme="minorHAnsi"/>
        </w:rPr>
        <w:t xml:space="preserve"> give enhanced </w:t>
      </w:r>
      <w:r>
        <w:rPr>
          <w:rFonts w:cstheme="minorHAnsi"/>
        </w:rPr>
        <w:t xml:space="preserve">distilled </w:t>
      </w:r>
      <w:r w:rsidRPr="00613AA5">
        <w:rPr>
          <w:rFonts w:cstheme="minorHAnsi"/>
        </w:rPr>
        <w:t>water flux in MD with very high salt rejection</w:t>
      </w:r>
      <w:r>
        <w:rPr>
          <w:rFonts w:cstheme="minorHAnsi"/>
        </w:rPr>
        <w:t xml:space="preserve"> due</w:t>
      </w:r>
      <w:r w:rsidRPr="00613AA5">
        <w:rPr>
          <w:rFonts w:cstheme="minorHAnsi"/>
        </w:rPr>
        <w:t xml:space="preserve"> to </w:t>
      </w:r>
      <w:proofErr w:type="spellStart"/>
      <w:r w:rsidRPr="00613AA5">
        <w:rPr>
          <w:rFonts w:cstheme="minorHAnsi"/>
        </w:rPr>
        <w:t>superhydrophobicity</w:t>
      </w:r>
      <w:proofErr w:type="spellEnd"/>
      <w:r w:rsidRPr="00613AA5">
        <w:rPr>
          <w:rFonts w:cstheme="minorHAnsi"/>
        </w:rPr>
        <w:t>, increased pore size and porosity.</w:t>
      </w:r>
      <w:r>
        <w:rPr>
          <w:rFonts w:cstheme="minorHAnsi"/>
        </w:rPr>
        <w:t xml:space="preserve"> </w:t>
      </w:r>
      <w:r w:rsidRPr="00310EFE">
        <w:rPr>
          <w:rFonts w:cstheme="minorHAnsi"/>
        </w:rPr>
        <w:t xml:space="preserve">Additionally </w:t>
      </w:r>
      <w:r>
        <w:rPr>
          <w:rFonts w:cstheme="minorHAnsi"/>
        </w:rPr>
        <w:t>t</w:t>
      </w:r>
      <w:r w:rsidRPr="00613AA5">
        <w:rPr>
          <w:rFonts w:cstheme="minorHAnsi"/>
        </w:rPr>
        <w:t xml:space="preserve">he bio-fouling resistance of plasma treated membranes was investigated by adding bovine serum albumin (BSA) to the saline solution; plasma treated membranes were able to resist wetting and pore clogging by preventing the adsorption of proteins and </w:t>
      </w:r>
      <w:r>
        <w:rPr>
          <w:rFonts w:cstheme="minorHAnsi"/>
        </w:rPr>
        <w:t>give</w:t>
      </w:r>
      <w:r w:rsidRPr="00613AA5">
        <w:rPr>
          <w:rFonts w:cstheme="minorHAnsi"/>
        </w:rPr>
        <w:t xml:space="preserve"> increased permeate flux up to 75 % compared to pristine</w:t>
      </w:r>
      <w:r>
        <w:rPr>
          <w:rFonts w:cstheme="minorHAnsi"/>
        </w:rPr>
        <w:t xml:space="preserve"> membrane</w:t>
      </w:r>
      <w:r w:rsidRPr="00613AA5">
        <w:rPr>
          <w:rFonts w:cstheme="minorHAnsi"/>
        </w:rPr>
        <w:t xml:space="preserve"> samples.</w:t>
      </w:r>
    </w:p>
    <w:p w:rsidR="00C9385B" w:rsidRPr="00C9385B" w:rsidRDefault="00C9385B" w:rsidP="00C9385B">
      <w:pPr>
        <w:spacing w:line="240" w:lineRule="auto"/>
        <w:jc w:val="both"/>
        <w:rPr>
          <w:rFonts w:cstheme="minorHAnsi"/>
          <w:sz w:val="22"/>
          <w:lang w:val="en-US"/>
        </w:rPr>
      </w:pPr>
      <w:r w:rsidRPr="00690151">
        <w:rPr>
          <w:rFonts w:cstheme="minorHAnsi"/>
          <w:b/>
          <w:bCs/>
          <w:szCs w:val="24"/>
          <w:lang w:val="en-US"/>
        </w:rPr>
        <w:t>KEYWORDS:</w:t>
      </w:r>
      <w:r w:rsidRPr="00690151">
        <w:rPr>
          <w:rFonts w:cstheme="minorHAnsi"/>
          <w:szCs w:val="24"/>
        </w:rPr>
        <w:t xml:space="preserve"> </w:t>
      </w:r>
      <w:r w:rsidRPr="000D2379">
        <w:rPr>
          <w:rFonts w:cstheme="minorHAnsi"/>
          <w:sz w:val="20"/>
        </w:rPr>
        <w:t xml:space="preserve">membrane distillation, plasma </w:t>
      </w:r>
      <w:proofErr w:type="spellStart"/>
      <w:r w:rsidRPr="000D2379">
        <w:rPr>
          <w:rFonts w:cstheme="minorHAnsi"/>
          <w:sz w:val="20"/>
        </w:rPr>
        <w:t>nanotexturing</w:t>
      </w:r>
      <w:proofErr w:type="spellEnd"/>
      <w:r w:rsidRPr="000D2379">
        <w:rPr>
          <w:rFonts w:cstheme="minorHAnsi"/>
          <w:sz w:val="20"/>
        </w:rPr>
        <w:t>,</w:t>
      </w:r>
      <w:r w:rsidRPr="000D2379">
        <w:rPr>
          <w:rFonts w:cstheme="minorHAnsi"/>
          <w:sz w:val="20"/>
          <w:lang w:val="en-US"/>
        </w:rPr>
        <w:t xml:space="preserve"> </w:t>
      </w:r>
      <w:proofErr w:type="spellStart"/>
      <w:r w:rsidRPr="000D2379">
        <w:rPr>
          <w:rFonts w:cstheme="minorHAnsi"/>
          <w:sz w:val="20"/>
        </w:rPr>
        <w:t>superhydrophobic</w:t>
      </w:r>
      <w:proofErr w:type="spellEnd"/>
      <w:r w:rsidRPr="000D2379">
        <w:rPr>
          <w:rFonts w:cstheme="minorHAnsi"/>
          <w:sz w:val="20"/>
        </w:rPr>
        <w:t xml:space="preserve"> membranes</w:t>
      </w:r>
    </w:p>
    <w:p w:rsidR="000E7582" w:rsidRPr="00F622D4" w:rsidRDefault="00650F36" w:rsidP="00942243">
      <w:pPr>
        <w:spacing w:line="240" w:lineRule="auto"/>
        <w:rPr>
          <w:rFonts w:cstheme="minorHAnsi"/>
          <w:sz w:val="22"/>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rsidR="00035000" w:rsidRPr="00A12FED" w:rsidRDefault="004B2EF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cs="Times New Roman"/>
          <w:b/>
          <w:bCs/>
          <w:sz w:val="20"/>
          <w:szCs w:val="24"/>
          <w:lang w:val="el-GR"/>
        </w:rPr>
        <w:fldChar w:fldCharType="begin" w:fldLock="1"/>
      </w:r>
      <w:r w:rsidR="000377C4" w:rsidRPr="001B2B49">
        <w:rPr>
          <w:rFonts w:cs="Times New Roman"/>
          <w:b/>
          <w:bCs/>
          <w:sz w:val="20"/>
          <w:szCs w:val="24"/>
          <w:lang w:val="en-US"/>
        </w:rPr>
        <w:instrText xml:space="preserve">ADDIN Mendeley Bibliography CSL_BIBLIOGRAPHY </w:instrText>
      </w:r>
      <w:r w:rsidRPr="00A12FED">
        <w:rPr>
          <w:rFonts w:cs="Times New Roman"/>
          <w:b/>
          <w:bCs/>
          <w:sz w:val="20"/>
          <w:szCs w:val="24"/>
          <w:lang w:val="el-GR"/>
        </w:rPr>
        <w:fldChar w:fldCharType="separate"/>
      </w:r>
      <w:r w:rsidR="00035000" w:rsidRPr="00A12FED">
        <w:rPr>
          <w:rFonts w:ascii="Calibri" w:hAnsi="Calibri" w:cs="Calibri"/>
          <w:noProof/>
          <w:sz w:val="20"/>
          <w:szCs w:val="24"/>
        </w:rPr>
        <w:t>[1]</w:t>
      </w:r>
      <w:r w:rsidR="00035000" w:rsidRPr="00A12FED">
        <w:rPr>
          <w:rFonts w:ascii="Calibri" w:hAnsi="Calibri" w:cs="Calibri"/>
          <w:noProof/>
          <w:sz w:val="20"/>
          <w:szCs w:val="24"/>
        </w:rPr>
        <w:tab/>
        <w:t>K. W. Lawson and D. R. Lloyd</w:t>
      </w:r>
      <w:r w:rsidR="00A12FED">
        <w:rPr>
          <w:rFonts w:ascii="Calibri" w:hAnsi="Calibri" w:cs="Calibri"/>
          <w:noProof/>
          <w:sz w:val="20"/>
          <w:szCs w:val="24"/>
        </w:rPr>
        <w:t xml:space="preserve"> (</w:t>
      </w:r>
      <w:r w:rsidR="00A12FED" w:rsidRPr="00A12FED">
        <w:rPr>
          <w:rFonts w:ascii="Calibri" w:hAnsi="Calibri" w:cs="Calibri"/>
          <w:noProof/>
          <w:sz w:val="20"/>
          <w:szCs w:val="24"/>
        </w:rPr>
        <w:t>1997</w:t>
      </w:r>
      <w:r w:rsidR="00A12FED">
        <w:rPr>
          <w:rFonts w:ascii="Calibri" w:hAnsi="Calibri" w:cs="Calibri"/>
          <w:noProof/>
          <w:sz w:val="20"/>
          <w:szCs w:val="24"/>
        </w:rPr>
        <w:t>)</w:t>
      </w:r>
      <w:r w:rsidR="00035000" w:rsidRPr="00A12FED">
        <w:rPr>
          <w:rFonts w:ascii="Calibri" w:hAnsi="Calibri" w:cs="Calibri"/>
          <w:noProof/>
          <w:sz w:val="20"/>
          <w:szCs w:val="24"/>
        </w:rPr>
        <w:t>,</w:t>
      </w:r>
      <w:r w:rsidR="00A12FED">
        <w:rPr>
          <w:rFonts w:ascii="Calibri" w:hAnsi="Calibri" w:cs="Calibri"/>
          <w:noProof/>
          <w:sz w:val="20"/>
          <w:szCs w:val="24"/>
        </w:rPr>
        <w:t xml:space="preserve"> </w:t>
      </w:r>
      <w:r w:rsidR="00A12FED" w:rsidRPr="00A12FED">
        <w:rPr>
          <w:rFonts w:ascii="Calibri" w:hAnsi="Calibri" w:cs="Calibri"/>
          <w:i/>
          <w:noProof/>
          <w:sz w:val="20"/>
          <w:szCs w:val="24"/>
        </w:rPr>
        <w:t>J. Membr. Sc.</w:t>
      </w:r>
      <w:r w:rsidR="00A12FED">
        <w:rPr>
          <w:rFonts w:ascii="Calibri" w:hAnsi="Calibri" w:cs="Calibri"/>
          <w:noProof/>
          <w:sz w:val="20"/>
          <w:szCs w:val="24"/>
        </w:rPr>
        <w:t>,</w:t>
      </w:r>
      <w:r w:rsidR="00553334">
        <w:rPr>
          <w:rFonts w:ascii="Calibri" w:hAnsi="Calibri" w:cs="Calibri"/>
          <w:noProof/>
          <w:sz w:val="20"/>
          <w:szCs w:val="24"/>
        </w:rPr>
        <w:t xml:space="preserve"> vol. 124, pp. 1–25</w:t>
      </w:r>
      <w:r w:rsidR="00035000" w:rsidRPr="00A12FED">
        <w:rPr>
          <w:rFonts w:ascii="Calibri" w:hAnsi="Calibri" w:cs="Calibri"/>
          <w:noProof/>
          <w:sz w:val="20"/>
          <w:szCs w:val="24"/>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ascii="Calibri" w:hAnsi="Calibri" w:cs="Calibri"/>
          <w:noProof/>
          <w:sz w:val="20"/>
          <w:szCs w:val="24"/>
        </w:rPr>
        <w:t>[2]</w:t>
      </w:r>
      <w:r w:rsidRPr="00A12FED">
        <w:rPr>
          <w:rFonts w:ascii="Calibri" w:hAnsi="Calibri" w:cs="Calibri"/>
          <w:noProof/>
          <w:sz w:val="20"/>
          <w:szCs w:val="24"/>
        </w:rPr>
        <w:tab/>
        <w:t>W. A. F. Wae AbdulKadir, A. L. Ahmad, O. B. Seng, and N. F. Che Lah</w:t>
      </w:r>
      <w:r w:rsidR="00A12FED">
        <w:rPr>
          <w:rFonts w:ascii="Calibri" w:hAnsi="Calibri" w:cs="Calibri"/>
          <w:noProof/>
          <w:sz w:val="20"/>
          <w:szCs w:val="24"/>
        </w:rPr>
        <w:t xml:space="preserve"> (</w:t>
      </w:r>
      <w:r w:rsidR="00A12FED" w:rsidRPr="00A12FED">
        <w:rPr>
          <w:rFonts w:ascii="Calibri" w:hAnsi="Calibri" w:cs="Calibri"/>
          <w:noProof/>
          <w:sz w:val="20"/>
          <w:szCs w:val="24"/>
        </w:rPr>
        <w:t>2020</w:t>
      </w:r>
      <w:r w:rsidR="00A12FED">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J. Ind. Eng. Chem.</w:t>
      </w:r>
      <w:r w:rsidRPr="00A12FED">
        <w:rPr>
          <w:rFonts w:ascii="Calibri" w:hAnsi="Calibri" w:cs="Calibri"/>
          <w:noProof/>
          <w:sz w:val="20"/>
          <w:szCs w:val="24"/>
        </w:rPr>
        <w:t>, vol. 91, pp. 15–36.</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ascii="Calibri" w:hAnsi="Calibri" w:cs="Calibri"/>
          <w:noProof/>
          <w:sz w:val="20"/>
          <w:szCs w:val="24"/>
        </w:rPr>
        <w:t>[3]</w:t>
      </w:r>
      <w:r w:rsidRPr="00A12FED">
        <w:rPr>
          <w:rFonts w:ascii="Calibri" w:hAnsi="Calibri" w:cs="Calibri"/>
          <w:noProof/>
          <w:sz w:val="20"/>
          <w:szCs w:val="24"/>
        </w:rPr>
        <w:tab/>
        <w:t>P. Sarkiris, K. Ellinas, D. Gkiolas, D. Mathioulakis, and E. Gogolides</w:t>
      </w:r>
      <w:r w:rsidR="00A12FED">
        <w:rPr>
          <w:rFonts w:ascii="Calibri" w:hAnsi="Calibri" w:cs="Calibri"/>
          <w:noProof/>
          <w:sz w:val="20"/>
          <w:szCs w:val="24"/>
        </w:rPr>
        <w:t xml:space="preserve"> (</w:t>
      </w:r>
      <w:r w:rsidR="00A12FED" w:rsidRPr="00A12FED">
        <w:rPr>
          <w:rFonts w:ascii="Calibri" w:hAnsi="Calibri" w:cs="Calibri"/>
          <w:noProof/>
          <w:sz w:val="20"/>
          <w:szCs w:val="24"/>
        </w:rPr>
        <w:t>2019</w:t>
      </w:r>
      <w:r w:rsidR="00A12FED">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Adv. Funct. Mater.</w:t>
      </w:r>
      <w:r w:rsidRPr="00A12FED">
        <w:rPr>
          <w:rFonts w:ascii="Calibri" w:hAnsi="Calibri" w:cs="Calibri"/>
          <w:noProof/>
          <w:sz w:val="20"/>
          <w:szCs w:val="24"/>
        </w:rPr>
        <w:t>, vol. 29, no. 35, pp. 1–</w:t>
      </w:r>
      <w:r w:rsidR="002B2C46">
        <w:rPr>
          <w:rFonts w:ascii="Calibri" w:hAnsi="Calibri" w:cs="Calibri"/>
          <w:noProof/>
          <w:sz w:val="20"/>
          <w:szCs w:val="24"/>
        </w:rPr>
        <w:t>8</w:t>
      </w:r>
      <w:r w:rsidRPr="00A12FED">
        <w:rPr>
          <w:rFonts w:ascii="Calibri" w:hAnsi="Calibri" w:cs="Calibri"/>
          <w:noProof/>
          <w:sz w:val="20"/>
          <w:szCs w:val="24"/>
        </w:rPr>
        <w:t>.</w:t>
      </w:r>
    </w:p>
    <w:p w:rsidR="00035000" w:rsidRPr="00A12FED" w:rsidRDefault="00035000" w:rsidP="002B2C46">
      <w:pPr>
        <w:widowControl w:val="0"/>
        <w:autoSpaceDE w:val="0"/>
        <w:autoSpaceDN w:val="0"/>
        <w:adjustRightInd w:val="0"/>
        <w:spacing w:before="240" w:after="20" w:line="240" w:lineRule="auto"/>
        <w:ind w:left="640" w:hanging="640"/>
        <w:rPr>
          <w:rFonts w:ascii="Calibri" w:hAnsi="Calibri" w:cs="Calibri"/>
          <w:noProof/>
          <w:sz w:val="20"/>
          <w:szCs w:val="24"/>
        </w:rPr>
      </w:pPr>
      <w:r w:rsidRPr="00A12FED">
        <w:rPr>
          <w:rFonts w:ascii="Calibri" w:hAnsi="Calibri" w:cs="Calibri"/>
          <w:noProof/>
          <w:sz w:val="20"/>
          <w:szCs w:val="24"/>
        </w:rPr>
        <w:t>[4]</w:t>
      </w:r>
      <w:r w:rsidRPr="00A12FED">
        <w:rPr>
          <w:rFonts w:ascii="Calibri" w:hAnsi="Calibri" w:cs="Calibri"/>
          <w:noProof/>
          <w:sz w:val="20"/>
          <w:szCs w:val="24"/>
        </w:rPr>
        <w:tab/>
        <w:t>K. Ellinas, D. Kefallinou, K. Stamatakis, E. Gogolides, and A. Tserepi</w:t>
      </w:r>
      <w:r w:rsidR="002B2C46">
        <w:rPr>
          <w:rFonts w:ascii="Calibri" w:hAnsi="Calibri" w:cs="Calibri"/>
          <w:noProof/>
          <w:sz w:val="20"/>
          <w:szCs w:val="24"/>
        </w:rPr>
        <w:t xml:space="preserve"> (</w:t>
      </w:r>
      <w:r w:rsidR="002B2C46" w:rsidRPr="00A12FED">
        <w:rPr>
          <w:rFonts w:ascii="Calibri" w:hAnsi="Calibri" w:cs="Calibri"/>
          <w:noProof/>
          <w:sz w:val="20"/>
          <w:szCs w:val="24"/>
        </w:rPr>
        <w:t>2017</w:t>
      </w:r>
      <w:r w:rsidR="002B2C46">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ACS Appl. Mater. Interfaces</w:t>
      </w:r>
      <w:r w:rsidRPr="00A12FED">
        <w:rPr>
          <w:rFonts w:ascii="Calibri" w:hAnsi="Calibri" w:cs="Calibri"/>
          <w:noProof/>
          <w:sz w:val="20"/>
          <w:szCs w:val="24"/>
        </w:rPr>
        <w:t>, vol. 9, no. 45, pp. 39781–39789.</w:t>
      </w:r>
    </w:p>
    <w:p w:rsidR="00035000" w:rsidRPr="001B2B49" w:rsidRDefault="00035000" w:rsidP="00035000">
      <w:pPr>
        <w:widowControl w:val="0"/>
        <w:autoSpaceDE w:val="0"/>
        <w:autoSpaceDN w:val="0"/>
        <w:adjustRightInd w:val="0"/>
        <w:spacing w:after="20" w:line="240" w:lineRule="auto"/>
        <w:ind w:left="640" w:hanging="640"/>
        <w:rPr>
          <w:rFonts w:ascii="Calibri" w:hAnsi="Calibri" w:cs="Calibri"/>
          <w:noProof/>
          <w:sz w:val="20"/>
          <w:szCs w:val="24"/>
          <w:lang w:val="es-ES"/>
        </w:rPr>
      </w:pPr>
      <w:r w:rsidRPr="00A12FED">
        <w:rPr>
          <w:rFonts w:ascii="Calibri" w:hAnsi="Calibri" w:cs="Calibri"/>
          <w:noProof/>
          <w:sz w:val="20"/>
          <w:szCs w:val="24"/>
        </w:rPr>
        <w:lastRenderedPageBreak/>
        <w:t>[5]</w:t>
      </w:r>
      <w:r w:rsidRPr="00A12FED">
        <w:rPr>
          <w:rFonts w:ascii="Calibri" w:hAnsi="Calibri" w:cs="Calibri"/>
          <w:noProof/>
          <w:sz w:val="20"/>
          <w:szCs w:val="24"/>
        </w:rPr>
        <w:tab/>
        <w:t>P. Dimitrakellis, K. Ellinas, G. D. Kaprou, D. C. Mastellos, A. Tserepi, and E. Gogolides</w:t>
      </w:r>
      <w:r w:rsidR="002B2C46">
        <w:rPr>
          <w:rFonts w:ascii="Calibri" w:hAnsi="Calibri" w:cs="Calibri"/>
          <w:noProof/>
          <w:sz w:val="20"/>
          <w:szCs w:val="24"/>
        </w:rPr>
        <w:t xml:space="preserve"> (</w:t>
      </w:r>
      <w:r w:rsidR="002B2C46" w:rsidRPr="00A12FED">
        <w:rPr>
          <w:rFonts w:ascii="Calibri" w:hAnsi="Calibri" w:cs="Calibri"/>
          <w:noProof/>
          <w:sz w:val="20"/>
          <w:szCs w:val="24"/>
        </w:rPr>
        <w:t>2021</w:t>
      </w:r>
      <w:r w:rsidR="002B2C46">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 xml:space="preserve">Macromol. </w:t>
      </w:r>
      <w:r w:rsidRPr="001B2B49">
        <w:rPr>
          <w:rFonts w:ascii="Calibri" w:hAnsi="Calibri" w:cs="Calibri"/>
          <w:i/>
          <w:iCs/>
          <w:noProof/>
          <w:sz w:val="20"/>
          <w:szCs w:val="24"/>
          <w:lang w:val="es-ES"/>
        </w:rPr>
        <w:t>Mater. Eng.</w:t>
      </w:r>
      <w:r w:rsidRPr="001B2B49">
        <w:rPr>
          <w:rFonts w:ascii="Calibri" w:hAnsi="Calibri" w:cs="Calibri"/>
          <w:noProof/>
          <w:sz w:val="20"/>
          <w:szCs w:val="24"/>
          <w:lang w:val="es-ES"/>
        </w:rPr>
        <w:t>, vol. n/a, no. n/a, p. 20</w:t>
      </w:r>
      <w:r w:rsidR="002B2C46" w:rsidRPr="001B2B49">
        <w:rPr>
          <w:rFonts w:ascii="Calibri" w:hAnsi="Calibri" w:cs="Calibri"/>
          <w:noProof/>
          <w:sz w:val="20"/>
          <w:szCs w:val="24"/>
          <w:lang w:val="es-ES"/>
        </w:rPr>
        <w:t>00694</w:t>
      </w:r>
      <w:r w:rsidRPr="001B2B49">
        <w:rPr>
          <w:rFonts w:ascii="Calibri" w:hAnsi="Calibri" w:cs="Calibri"/>
          <w:noProof/>
          <w:sz w:val="20"/>
          <w:szCs w:val="24"/>
          <w:lang w:val="es-ES"/>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1B2B49">
        <w:rPr>
          <w:rFonts w:ascii="Calibri" w:hAnsi="Calibri" w:cs="Calibri"/>
          <w:noProof/>
          <w:sz w:val="20"/>
          <w:szCs w:val="24"/>
          <w:lang w:val="es-ES"/>
        </w:rPr>
        <w:t>[6]</w:t>
      </w:r>
      <w:r w:rsidRPr="001B2B49">
        <w:rPr>
          <w:rFonts w:ascii="Calibri" w:hAnsi="Calibri" w:cs="Calibri"/>
          <w:noProof/>
          <w:sz w:val="20"/>
          <w:szCs w:val="24"/>
          <w:lang w:val="es-ES"/>
        </w:rPr>
        <w:tab/>
        <w:t xml:space="preserve">L. Liu </w:t>
      </w:r>
      <w:r w:rsidRPr="001B2B49">
        <w:rPr>
          <w:rFonts w:ascii="Calibri" w:hAnsi="Calibri" w:cs="Calibri"/>
          <w:i/>
          <w:iCs/>
          <w:noProof/>
          <w:sz w:val="20"/>
          <w:szCs w:val="24"/>
          <w:lang w:val="es-ES"/>
        </w:rPr>
        <w:t>et al.</w:t>
      </w:r>
      <w:r w:rsidR="002B2C46" w:rsidRPr="001B2B49">
        <w:rPr>
          <w:rFonts w:ascii="Calibri" w:hAnsi="Calibri" w:cs="Calibri"/>
          <w:i/>
          <w:iCs/>
          <w:noProof/>
          <w:sz w:val="20"/>
          <w:szCs w:val="24"/>
          <w:lang w:val="es-ES"/>
        </w:rPr>
        <w:t xml:space="preserve"> </w:t>
      </w:r>
      <w:r w:rsidR="002B2C46" w:rsidRPr="001B2B49">
        <w:rPr>
          <w:rFonts w:ascii="Calibri" w:hAnsi="Calibri" w:cs="Calibri"/>
          <w:iCs/>
          <w:noProof/>
          <w:sz w:val="20"/>
          <w:szCs w:val="24"/>
          <w:lang w:val="es-ES"/>
        </w:rPr>
        <w:t>(</w:t>
      </w:r>
      <w:r w:rsidR="002B2C46" w:rsidRPr="001B2B49">
        <w:rPr>
          <w:rFonts w:ascii="Calibri" w:hAnsi="Calibri" w:cs="Calibri"/>
          <w:noProof/>
          <w:sz w:val="20"/>
          <w:szCs w:val="24"/>
          <w:lang w:val="es-ES"/>
        </w:rPr>
        <w:t>2021)</w:t>
      </w:r>
      <w:r w:rsidRPr="001B2B49">
        <w:rPr>
          <w:rFonts w:ascii="Calibri" w:hAnsi="Calibri" w:cs="Calibri"/>
          <w:noProof/>
          <w:sz w:val="20"/>
          <w:szCs w:val="24"/>
          <w:lang w:val="es-ES"/>
        </w:rPr>
        <w:t xml:space="preserve">, </w:t>
      </w:r>
      <w:r w:rsidRPr="001B2B49">
        <w:rPr>
          <w:rFonts w:ascii="Calibri" w:hAnsi="Calibri" w:cs="Calibri"/>
          <w:i/>
          <w:iCs/>
          <w:noProof/>
          <w:sz w:val="20"/>
          <w:szCs w:val="24"/>
          <w:lang w:val="es-ES"/>
        </w:rPr>
        <w:t>Desalination</w:t>
      </w:r>
      <w:r w:rsidRPr="001B2B49">
        <w:rPr>
          <w:rFonts w:ascii="Calibri" w:hAnsi="Calibri" w:cs="Calibri"/>
          <w:noProof/>
          <w:sz w:val="20"/>
          <w:szCs w:val="24"/>
          <w:lang w:val="es-ES"/>
        </w:rPr>
        <w:t>, vol. 49</w:t>
      </w:r>
      <w:r w:rsidR="002B2C46" w:rsidRPr="001B2B49">
        <w:rPr>
          <w:rFonts w:ascii="Calibri" w:hAnsi="Calibri" w:cs="Calibri"/>
          <w:noProof/>
          <w:sz w:val="20"/>
          <w:szCs w:val="24"/>
          <w:lang w:val="es-ES"/>
        </w:rPr>
        <w:t xml:space="preserve">9, no. </w:t>
      </w:r>
      <w:r w:rsidR="002B2C46">
        <w:rPr>
          <w:rFonts w:ascii="Calibri" w:hAnsi="Calibri" w:cs="Calibri"/>
          <w:noProof/>
          <w:sz w:val="20"/>
          <w:szCs w:val="24"/>
        </w:rPr>
        <w:t>November 2020, p. 114864</w:t>
      </w:r>
      <w:r w:rsidRPr="00A12FED">
        <w:rPr>
          <w:rFonts w:ascii="Calibri" w:hAnsi="Calibri" w:cs="Calibri"/>
          <w:noProof/>
          <w:sz w:val="20"/>
          <w:szCs w:val="24"/>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ascii="Calibri" w:hAnsi="Calibri" w:cs="Calibri"/>
          <w:noProof/>
          <w:sz w:val="20"/>
          <w:szCs w:val="24"/>
        </w:rPr>
        <w:t>[7]</w:t>
      </w:r>
      <w:r w:rsidRPr="00A12FED">
        <w:rPr>
          <w:rFonts w:ascii="Calibri" w:hAnsi="Calibri" w:cs="Calibri"/>
          <w:noProof/>
          <w:sz w:val="20"/>
          <w:szCs w:val="24"/>
        </w:rPr>
        <w:tab/>
        <w:t xml:space="preserve">M. Yao </w:t>
      </w:r>
      <w:r w:rsidRPr="00A12FED">
        <w:rPr>
          <w:rFonts w:ascii="Calibri" w:hAnsi="Calibri" w:cs="Calibri"/>
          <w:i/>
          <w:iCs/>
          <w:noProof/>
          <w:sz w:val="20"/>
          <w:szCs w:val="24"/>
        </w:rPr>
        <w:t>et al.</w:t>
      </w:r>
      <w:r w:rsidR="002B2C46">
        <w:rPr>
          <w:rFonts w:ascii="Calibri" w:hAnsi="Calibri" w:cs="Calibri"/>
          <w:i/>
          <w:iCs/>
          <w:noProof/>
          <w:sz w:val="20"/>
          <w:szCs w:val="24"/>
        </w:rPr>
        <w:t xml:space="preserve"> </w:t>
      </w:r>
      <w:r w:rsidR="002B2C46">
        <w:rPr>
          <w:rFonts w:ascii="Calibri" w:hAnsi="Calibri" w:cs="Calibri"/>
          <w:iCs/>
          <w:noProof/>
          <w:sz w:val="20"/>
          <w:szCs w:val="24"/>
        </w:rPr>
        <w:t>(</w:t>
      </w:r>
      <w:r w:rsidR="002B2C46" w:rsidRPr="00A12FED">
        <w:rPr>
          <w:rFonts w:ascii="Calibri" w:hAnsi="Calibri" w:cs="Calibri"/>
          <w:noProof/>
          <w:sz w:val="20"/>
          <w:szCs w:val="24"/>
        </w:rPr>
        <w:t>2020</w:t>
      </w:r>
      <w:r w:rsidR="002B2C46">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Desalination</w:t>
      </w:r>
      <w:r w:rsidRPr="00A12FED">
        <w:rPr>
          <w:rFonts w:ascii="Calibri" w:hAnsi="Calibri" w:cs="Calibri"/>
          <w:noProof/>
          <w:sz w:val="20"/>
          <w:szCs w:val="24"/>
        </w:rPr>
        <w:t>, vol. 47</w:t>
      </w:r>
      <w:r w:rsidR="002B2C46">
        <w:rPr>
          <w:rFonts w:ascii="Calibri" w:hAnsi="Calibri" w:cs="Calibri"/>
          <w:noProof/>
          <w:sz w:val="20"/>
          <w:szCs w:val="24"/>
        </w:rPr>
        <w:t>9, no. December 2019, p. 114312</w:t>
      </w:r>
      <w:r w:rsidRPr="00A12FED">
        <w:rPr>
          <w:rFonts w:ascii="Calibri" w:hAnsi="Calibri" w:cs="Calibri"/>
          <w:noProof/>
          <w:sz w:val="20"/>
          <w:szCs w:val="24"/>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ascii="Calibri" w:hAnsi="Calibri" w:cs="Calibri"/>
          <w:noProof/>
          <w:sz w:val="20"/>
          <w:szCs w:val="24"/>
        </w:rPr>
        <w:t>[8]</w:t>
      </w:r>
      <w:r w:rsidRPr="00A12FED">
        <w:rPr>
          <w:rFonts w:ascii="Calibri" w:hAnsi="Calibri" w:cs="Calibri"/>
          <w:noProof/>
          <w:sz w:val="20"/>
          <w:szCs w:val="24"/>
        </w:rPr>
        <w:tab/>
        <w:t>E. Gogolides, K. Ellinas, and A. Tserepi</w:t>
      </w:r>
      <w:r w:rsidR="002B2C46">
        <w:rPr>
          <w:rFonts w:ascii="Calibri" w:hAnsi="Calibri" w:cs="Calibri"/>
          <w:noProof/>
          <w:sz w:val="20"/>
          <w:szCs w:val="24"/>
        </w:rPr>
        <w:t xml:space="preserve"> (</w:t>
      </w:r>
      <w:r w:rsidR="002B2C46" w:rsidRPr="00A12FED">
        <w:rPr>
          <w:rFonts w:ascii="Calibri" w:hAnsi="Calibri" w:cs="Calibri"/>
          <w:noProof/>
          <w:sz w:val="20"/>
          <w:szCs w:val="24"/>
        </w:rPr>
        <w:t>2015</w:t>
      </w:r>
      <w:r w:rsidR="002B2C46">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Microelectron. Eng.</w:t>
      </w:r>
      <w:r w:rsidRPr="00A12FED">
        <w:rPr>
          <w:rFonts w:ascii="Calibri" w:hAnsi="Calibri" w:cs="Calibri"/>
          <w:noProof/>
          <w:sz w:val="20"/>
          <w:szCs w:val="24"/>
        </w:rPr>
        <w:t>, vol. 132, pp. 135–</w:t>
      </w:r>
      <w:r w:rsidR="002B2C46">
        <w:rPr>
          <w:rFonts w:ascii="Calibri" w:hAnsi="Calibri" w:cs="Calibri"/>
          <w:noProof/>
          <w:sz w:val="20"/>
          <w:szCs w:val="24"/>
        </w:rPr>
        <w:t>155</w:t>
      </w:r>
      <w:r w:rsidRPr="00A12FED">
        <w:rPr>
          <w:rFonts w:ascii="Calibri" w:hAnsi="Calibri" w:cs="Calibri"/>
          <w:noProof/>
          <w:sz w:val="20"/>
          <w:szCs w:val="24"/>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szCs w:val="24"/>
        </w:rPr>
      </w:pPr>
      <w:r w:rsidRPr="00A12FED">
        <w:rPr>
          <w:rFonts w:ascii="Calibri" w:hAnsi="Calibri" w:cs="Calibri"/>
          <w:noProof/>
          <w:sz w:val="20"/>
          <w:szCs w:val="24"/>
        </w:rPr>
        <w:t>[9]</w:t>
      </w:r>
      <w:r w:rsidRPr="00A12FED">
        <w:rPr>
          <w:rFonts w:ascii="Calibri" w:hAnsi="Calibri" w:cs="Calibri"/>
          <w:noProof/>
          <w:sz w:val="20"/>
          <w:szCs w:val="24"/>
        </w:rPr>
        <w:tab/>
        <w:t>K. Ellinas, A. Tserepi, and E. Gogolides</w:t>
      </w:r>
      <w:r w:rsidR="002B2C46">
        <w:rPr>
          <w:rFonts w:ascii="Calibri" w:hAnsi="Calibri" w:cs="Calibri"/>
          <w:noProof/>
          <w:sz w:val="20"/>
          <w:szCs w:val="24"/>
        </w:rPr>
        <w:t xml:space="preserve"> (2011)</w:t>
      </w:r>
      <w:r w:rsidRPr="00A12FED">
        <w:rPr>
          <w:rFonts w:ascii="Calibri" w:hAnsi="Calibri" w:cs="Calibri"/>
          <w:noProof/>
          <w:sz w:val="20"/>
          <w:szCs w:val="24"/>
        </w:rPr>
        <w:t xml:space="preserve">, </w:t>
      </w:r>
      <w:r w:rsidRPr="00A12FED">
        <w:rPr>
          <w:rFonts w:ascii="Calibri" w:hAnsi="Calibri" w:cs="Calibri"/>
          <w:i/>
          <w:iCs/>
          <w:noProof/>
          <w:sz w:val="20"/>
          <w:szCs w:val="24"/>
        </w:rPr>
        <w:t>Langmuir</w:t>
      </w:r>
      <w:r w:rsidRPr="00A12FED">
        <w:rPr>
          <w:rFonts w:ascii="Calibri" w:hAnsi="Calibri" w:cs="Calibri"/>
          <w:noProof/>
          <w:sz w:val="20"/>
          <w:szCs w:val="24"/>
        </w:rPr>
        <w:t>, vol. 27, no. 7, pp. 3960–</w:t>
      </w:r>
      <w:r w:rsidR="002B2C46">
        <w:rPr>
          <w:rFonts w:ascii="Calibri" w:hAnsi="Calibri" w:cs="Calibri"/>
          <w:noProof/>
          <w:sz w:val="20"/>
          <w:szCs w:val="24"/>
        </w:rPr>
        <w:t>3969</w:t>
      </w:r>
      <w:r w:rsidRPr="00A12FED">
        <w:rPr>
          <w:rFonts w:ascii="Calibri" w:hAnsi="Calibri" w:cs="Calibri"/>
          <w:noProof/>
          <w:sz w:val="20"/>
          <w:szCs w:val="24"/>
        </w:rPr>
        <w:t>.</w:t>
      </w:r>
    </w:p>
    <w:p w:rsidR="00035000" w:rsidRPr="00A12FED" w:rsidRDefault="00035000" w:rsidP="00035000">
      <w:pPr>
        <w:widowControl w:val="0"/>
        <w:autoSpaceDE w:val="0"/>
        <w:autoSpaceDN w:val="0"/>
        <w:adjustRightInd w:val="0"/>
        <w:spacing w:after="20" w:line="240" w:lineRule="auto"/>
        <w:ind w:left="640" w:hanging="640"/>
        <w:rPr>
          <w:rFonts w:ascii="Calibri" w:hAnsi="Calibri" w:cs="Calibri"/>
          <w:noProof/>
          <w:sz w:val="20"/>
        </w:rPr>
      </w:pPr>
      <w:r w:rsidRPr="00A12FED">
        <w:rPr>
          <w:rFonts w:ascii="Calibri" w:hAnsi="Calibri" w:cs="Calibri"/>
          <w:noProof/>
          <w:sz w:val="20"/>
          <w:szCs w:val="24"/>
        </w:rPr>
        <w:t>[10]</w:t>
      </w:r>
      <w:r w:rsidRPr="00A12FED">
        <w:rPr>
          <w:rFonts w:ascii="Calibri" w:hAnsi="Calibri" w:cs="Calibri"/>
          <w:noProof/>
          <w:sz w:val="20"/>
          <w:szCs w:val="24"/>
        </w:rPr>
        <w:tab/>
        <w:t>A. K. Gnanappa, D. P. Papageorgiou, E. Gogolides, A. Tserepi, A. G. Papathanasiou, and A. G. Boudouvis</w:t>
      </w:r>
      <w:r w:rsidR="002B2C46">
        <w:rPr>
          <w:rFonts w:ascii="Calibri" w:hAnsi="Calibri" w:cs="Calibri"/>
          <w:noProof/>
          <w:sz w:val="20"/>
          <w:szCs w:val="24"/>
        </w:rPr>
        <w:t xml:space="preserve"> (</w:t>
      </w:r>
      <w:r w:rsidR="002B2C46" w:rsidRPr="00A12FED">
        <w:rPr>
          <w:rFonts w:ascii="Calibri" w:hAnsi="Calibri" w:cs="Calibri"/>
          <w:noProof/>
          <w:sz w:val="20"/>
          <w:szCs w:val="24"/>
        </w:rPr>
        <w:t>2012</w:t>
      </w:r>
      <w:r w:rsidR="002B2C46">
        <w:rPr>
          <w:rFonts w:ascii="Calibri" w:hAnsi="Calibri" w:cs="Calibri"/>
          <w:noProof/>
          <w:sz w:val="20"/>
          <w:szCs w:val="24"/>
        </w:rPr>
        <w:t>)</w:t>
      </w:r>
      <w:r w:rsidRPr="00A12FED">
        <w:rPr>
          <w:rFonts w:ascii="Calibri" w:hAnsi="Calibri" w:cs="Calibri"/>
          <w:noProof/>
          <w:sz w:val="20"/>
          <w:szCs w:val="24"/>
        </w:rPr>
        <w:t xml:space="preserve">, </w:t>
      </w:r>
      <w:r w:rsidRPr="00A12FED">
        <w:rPr>
          <w:rFonts w:ascii="Calibri" w:hAnsi="Calibri" w:cs="Calibri"/>
          <w:i/>
          <w:iCs/>
          <w:noProof/>
          <w:sz w:val="20"/>
          <w:szCs w:val="24"/>
        </w:rPr>
        <w:t>Plasma Process. Polym.</w:t>
      </w:r>
      <w:r w:rsidRPr="00A12FED">
        <w:rPr>
          <w:rFonts w:ascii="Calibri" w:hAnsi="Calibri" w:cs="Calibri"/>
          <w:noProof/>
          <w:sz w:val="20"/>
          <w:szCs w:val="24"/>
        </w:rPr>
        <w:t>, vol. 9, no. 3, pp. 304–315.</w:t>
      </w:r>
    </w:p>
    <w:p w:rsidR="004F7B38" w:rsidRPr="004F7B38" w:rsidRDefault="004B2EF0" w:rsidP="00035000">
      <w:pPr>
        <w:widowControl w:val="0"/>
        <w:autoSpaceDE w:val="0"/>
        <w:autoSpaceDN w:val="0"/>
        <w:adjustRightInd w:val="0"/>
        <w:spacing w:after="20" w:line="240" w:lineRule="auto"/>
        <w:ind w:left="640" w:hanging="640"/>
        <w:rPr>
          <w:rFonts w:cs="Times New Roman"/>
          <w:b/>
          <w:bCs/>
          <w:szCs w:val="24"/>
          <w:lang w:val="el-GR"/>
        </w:rPr>
      </w:pPr>
      <w:r w:rsidRPr="00A12FED">
        <w:rPr>
          <w:rFonts w:cs="Times New Roman"/>
          <w:b/>
          <w:bCs/>
          <w:sz w:val="20"/>
          <w:szCs w:val="24"/>
          <w:lang w:val="el-GR"/>
        </w:rPr>
        <w:fldChar w:fldCharType="end"/>
      </w:r>
    </w:p>
    <w:sectPr w:rsidR="004F7B38" w:rsidRPr="004F7B38"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48" w:rsidRDefault="00F25348" w:rsidP="00B10FCD">
      <w:pPr>
        <w:spacing w:after="0" w:line="240" w:lineRule="auto"/>
      </w:pPr>
      <w:r>
        <w:separator/>
      </w:r>
    </w:p>
  </w:endnote>
  <w:endnote w:type="continuationSeparator" w:id="0">
    <w:p w:rsidR="00F25348" w:rsidRDefault="00F25348" w:rsidP="00B1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63091"/>
      <w:docPartObj>
        <w:docPartGallery w:val="Page Numbers (Bottom of Page)"/>
        <w:docPartUnique/>
      </w:docPartObj>
    </w:sdtPr>
    <w:sdtContent>
      <w:p w:rsidR="0027478C" w:rsidRDefault="004B2EF0">
        <w:pPr>
          <w:pStyle w:val="a7"/>
        </w:pPr>
        <w:r w:rsidRPr="00670DAB">
          <w:rPr>
            <w:b/>
            <w:bCs/>
            <w:sz w:val="18"/>
            <w:szCs w:val="16"/>
          </w:rPr>
          <w:fldChar w:fldCharType="begin"/>
        </w:r>
        <w:r w:rsidR="0027478C" w:rsidRPr="00670DAB">
          <w:rPr>
            <w:b/>
            <w:bCs/>
            <w:sz w:val="18"/>
            <w:szCs w:val="16"/>
          </w:rPr>
          <w:instrText>PAGE   \* MERGEFORMAT</w:instrText>
        </w:r>
        <w:r w:rsidRPr="00670DAB">
          <w:rPr>
            <w:b/>
            <w:bCs/>
            <w:sz w:val="18"/>
            <w:szCs w:val="16"/>
          </w:rPr>
          <w:fldChar w:fldCharType="separate"/>
        </w:r>
        <w:r w:rsidR="00C9385B" w:rsidRPr="00C9385B">
          <w:rPr>
            <w:b/>
            <w:bCs/>
            <w:noProof/>
            <w:sz w:val="18"/>
            <w:szCs w:val="16"/>
            <w:lang w:val="el-GR"/>
          </w:rPr>
          <w:t>1</w:t>
        </w:r>
        <w:r w:rsidRPr="00670DAB">
          <w:rPr>
            <w:b/>
            <w:bCs/>
            <w:sz w:val="18"/>
            <w:szCs w:val="16"/>
          </w:rPr>
          <w:fldChar w:fldCharType="end"/>
        </w:r>
      </w:p>
    </w:sdtContent>
  </w:sdt>
  <w:p w:rsidR="00C55D63" w:rsidRDefault="00C55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48" w:rsidRDefault="00F25348" w:rsidP="00B10FCD">
      <w:pPr>
        <w:spacing w:after="0" w:line="240" w:lineRule="auto"/>
      </w:pPr>
      <w:r>
        <w:separator/>
      </w:r>
    </w:p>
  </w:footnote>
  <w:footnote w:type="continuationSeparator" w:id="0">
    <w:p w:rsidR="00F25348" w:rsidRDefault="00F25348" w:rsidP="00B10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5000"/>
    <w:rsid w:val="000377C4"/>
    <w:rsid w:val="00055CAD"/>
    <w:rsid w:val="000E7582"/>
    <w:rsid w:val="00100E5B"/>
    <w:rsid w:val="001231D3"/>
    <w:rsid w:val="00127AD7"/>
    <w:rsid w:val="001327BE"/>
    <w:rsid w:val="00134726"/>
    <w:rsid w:val="00137B0D"/>
    <w:rsid w:val="001B2B49"/>
    <w:rsid w:val="00257888"/>
    <w:rsid w:val="002607CE"/>
    <w:rsid w:val="0027478C"/>
    <w:rsid w:val="002937B1"/>
    <w:rsid w:val="002938E7"/>
    <w:rsid w:val="002B13CB"/>
    <w:rsid w:val="002B2C46"/>
    <w:rsid w:val="00311A5F"/>
    <w:rsid w:val="003416B9"/>
    <w:rsid w:val="003A516B"/>
    <w:rsid w:val="003F4BCB"/>
    <w:rsid w:val="00406EAA"/>
    <w:rsid w:val="00411CC6"/>
    <w:rsid w:val="004B2EF0"/>
    <w:rsid w:val="004F27FB"/>
    <w:rsid w:val="004F7B38"/>
    <w:rsid w:val="00553334"/>
    <w:rsid w:val="005A4565"/>
    <w:rsid w:val="00650F36"/>
    <w:rsid w:val="00670DAB"/>
    <w:rsid w:val="00670ECC"/>
    <w:rsid w:val="00690151"/>
    <w:rsid w:val="00705DF0"/>
    <w:rsid w:val="007B6FCC"/>
    <w:rsid w:val="008473B9"/>
    <w:rsid w:val="00915963"/>
    <w:rsid w:val="0091656E"/>
    <w:rsid w:val="00935497"/>
    <w:rsid w:val="00942243"/>
    <w:rsid w:val="00976F64"/>
    <w:rsid w:val="009803F2"/>
    <w:rsid w:val="00997EF7"/>
    <w:rsid w:val="009C653D"/>
    <w:rsid w:val="00A12FED"/>
    <w:rsid w:val="00A84D47"/>
    <w:rsid w:val="00AA4FE7"/>
    <w:rsid w:val="00AB16ED"/>
    <w:rsid w:val="00AC44BD"/>
    <w:rsid w:val="00AD393E"/>
    <w:rsid w:val="00AE2FB9"/>
    <w:rsid w:val="00AF459A"/>
    <w:rsid w:val="00B10FCD"/>
    <w:rsid w:val="00B36AC7"/>
    <w:rsid w:val="00C04EBD"/>
    <w:rsid w:val="00C07544"/>
    <w:rsid w:val="00C14E95"/>
    <w:rsid w:val="00C221BD"/>
    <w:rsid w:val="00C55D63"/>
    <w:rsid w:val="00C84852"/>
    <w:rsid w:val="00C9385B"/>
    <w:rsid w:val="00CF4EEC"/>
    <w:rsid w:val="00D678BE"/>
    <w:rsid w:val="00D758B7"/>
    <w:rsid w:val="00DA5472"/>
    <w:rsid w:val="00DE346C"/>
    <w:rsid w:val="00E63CAC"/>
    <w:rsid w:val="00E77B52"/>
    <w:rsid w:val="00E853C3"/>
    <w:rsid w:val="00E87E35"/>
    <w:rsid w:val="00EB7A2E"/>
    <w:rsid w:val="00ED7AD7"/>
    <w:rsid w:val="00F24A5F"/>
    <w:rsid w:val="00F25348"/>
    <w:rsid w:val="00F42DF0"/>
    <w:rsid w:val="00F622D4"/>
    <w:rsid w:val="00F62D7D"/>
    <w:rsid w:val="00F83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a8">
    <w:name w:val="footnote text"/>
    <w:basedOn w:val="a"/>
    <w:link w:val="Char3"/>
    <w:uiPriority w:val="99"/>
    <w:semiHidden/>
    <w:unhideWhenUsed/>
    <w:rsid w:val="000377C4"/>
    <w:pPr>
      <w:spacing w:after="0" w:line="240" w:lineRule="auto"/>
    </w:pPr>
    <w:rPr>
      <w:sz w:val="20"/>
      <w:szCs w:val="20"/>
    </w:rPr>
  </w:style>
  <w:style w:type="character" w:customStyle="1" w:styleId="Char3">
    <w:name w:val="Κείμενο υποσημείωσης Char"/>
    <w:basedOn w:val="a0"/>
    <w:link w:val="a8"/>
    <w:uiPriority w:val="99"/>
    <w:semiHidden/>
    <w:rsid w:val="000377C4"/>
    <w:rPr>
      <w:color w:val="000000" w:themeColor="text1"/>
      <w:sz w:val="20"/>
      <w:szCs w:val="20"/>
      <w:lang w:val="en-GB"/>
    </w:rPr>
  </w:style>
  <w:style w:type="character" w:styleId="a9">
    <w:name w:val="footnote reference"/>
    <w:basedOn w:val="a0"/>
    <w:uiPriority w:val="99"/>
    <w:semiHidden/>
    <w:unhideWhenUsed/>
    <w:rsid w:val="000377C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7F348FC-B9F7-4AE4-B32D-A8DF925B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3967</Words>
  <Characters>22612</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Dimosthenis</cp:lastModifiedBy>
  <cp:revision>13</cp:revision>
  <cp:lastPrinted>2016-12-14T08:08:00Z</cp:lastPrinted>
  <dcterms:created xsi:type="dcterms:W3CDTF">2022-02-10T14:04:00Z</dcterms:created>
  <dcterms:modified xsi:type="dcterms:W3CDTF">2022-04-21T11:11:00Z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32483371-8c25-3a17-80c7-30f3413bbf89</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