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BAF0" w14:textId="0D2ED3C4" w:rsidR="00FD0A21" w:rsidRPr="00752FFA" w:rsidRDefault="00752FFA" w:rsidP="00257888">
      <w:pPr>
        <w:spacing w:after="120" w:line="240" w:lineRule="auto"/>
        <w:jc w:val="center"/>
        <w:rPr>
          <w:rFonts w:cs="Times New Roman"/>
          <w:b/>
          <w:smallCaps/>
          <w:szCs w:val="24"/>
          <w:lang w:val="en-US"/>
        </w:rPr>
      </w:pPr>
      <w:r w:rsidRPr="00752FFA">
        <w:rPr>
          <w:rFonts w:cs="Times New Roman"/>
          <w:b/>
          <w:smallCaps/>
          <w:szCs w:val="24"/>
          <w:lang w:val="en-US"/>
        </w:rPr>
        <w:t>Isalos Analytics Platform: A Machine Learning / Artificial Intelligence Zero Code Solution for Chemical Engineering Applications</w:t>
      </w:r>
    </w:p>
    <w:p w14:paraId="416F03AC" w14:textId="3EC4EDA3" w:rsidR="00FD0A21" w:rsidRPr="00752FFA" w:rsidRDefault="00752FFA" w:rsidP="00752FFA">
      <w:pPr>
        <w:spacing w:before="100" w:beforeAutospacing="1" w:after="100" w:afterAutospacing="1" w:line="240" w:lineRule="auto"/>
        <w:rPr>
          <w:rStyle w:val="hps"/>
          <w:rFonts w:cs="Times New Roman"/>
          <w:b/>
          <w:szCs w:val="24"/>
        </w:rPr>
      </w:pPr>
      <w:bookmarkStart w:id="0" w:name="_Hlk94776198"/>
      <w:r w:rsidRPr="00752FFA">
        <w:rPr>
          <w:rFonts w:cs="Times New Roman"/>
          <w:b/>
          <w:szCs w:val="24"/>
        </w:rPr>
        <w:t xml:space="preserve">Dimitra-Danai </w:t>
      </w:r>
      <w:proofErr w:type="spellStart"/>
      <w:r w:rsidRPr="00752FFA">
        <w:rPr>
          <w:rFonts w:cs="Times New Roman"/>
          <w:b/>
          <w:szCs w:val="24"/>
        </w:rPr>
        <w:t>Varsou</w:t>
      </w:r>
      <w:proofErr w:type="spellEnd"/>
      <w:r w:rsidRPr="00752FFA">
        <w:rPr>
          <w:rFonts w:cs="Times New Roman"/>
          <w:b/>
          <w:szCs w:val="24"/>
        </w:rPr>
        <w:t xml:space="preserve">, Andreas </w:t>
      </w:r>
      <w:proofErr w:type="spellStart"/>
      <w:r w:rsidRPr="00752FFA">
        <w:rPr>
          <w:rFonts w:cs="Times New Roman"/>
          <w:b/>
          <w:szCs w:val="24"/>
        </w:rPr>
        <w:t>Tsoumanis</w:t>
      </w:r>
      <w:proofErr w:type="spellEnd"/>
      <w:r w:rsidRPr="00752FFA">
        <w:rPr>
          <w:rFonts w:cs="Times New Roman"/>
          <w:b/>
          <w:szCs w:val="24"/>
        </w:rPr>
        <w:t xml:space="preserve">, Anastasios </w:t>
      </w:r>
      <w:proofErr w:type="spellStart"/>
      <w:r w:rsidRPr="00752FFA">
        <w:rPr>
          <w:rFonts w:cs="Times New Roman"/>
          <w:b/>
          <w:szCs w:val="24"/>
        </w:rPr>
        <w:t>Papadiamantis</w:t>
      </w:r>
      <w:proofErr w:type="spellEnd"/>
      <w:r w:rsidRPr="00752FFA">
        <w:rPr>
          <w:rFonts w:cs="Times New Roman"/>
          <w:b/>
          <w:szCs w:val="24"/>
        </w:rPr>
        <w:t xml:space="preserve"> and Antreas Afantitis</w:t>
      </w:r>
      <w:bookmarkEnd w:id="0"/>
      <w:r w:rsidRPr="00752FFA">
        <w:rPr>
          <w:rFonts w:cs="Times New Roman"/>
          <w:b/>
          <w:szCs w:val="24"/>
        </w:rPr>
        <w:t>*</w:t>
      </w:r>
    </w:p>
    <w:p w14:paraId="3003DB79" w14:textId="0A822B54" w:rsidR="00257888" w:rsidRPr="00406EAA" w:rsidRDefault="00FD0A21" w:rsidP="00257888">
      <w:pPr>
        <w:pStyle w:val="ListParagraph"/>
        <w:spacing w:before="0" w:line="240" w:lineRule="auto"/>
        <w:ind w:left="0"/>
        <w:contextualSpacing w:val="0"/>
        <w:jc w:val="center"/>
        <w:rPr>
          <w:rStyle w:val="hps"/>
          <w:rFonts w:cs="Times New Roman"/>
          <w:sz w:val="24"/>
          <w:szCs w:val="24"/>
          <w:lang w:val="en-US"/>
        </w:rPr>
      </w:pPr>
      <w:r w:rsidRPr="00FD0A21">
        <w:rPr>
          <w:rStyle w:val="hps"/>
          <w:rFonts w:cs="Times New Roman"/>
          <w:sz w:val="24"/>
          <w:szCs w:val="24"/>
          <w:lang w:val="en-US"/>
        </w:rPr>
        <w:t>NovaMechanics Ltd, Nicosia, Cyprus</w:t>
      </w:r>
      <w:r w:rsidR="00DA5472" w:rsidRPr="00781049">
        <w:rPr>
          <w:rStyle w:val="hps"/>
          <w:rFonts w:cs="Times New Roman"/>
          <w:sz w:val="24"/>
          <w:szCs w:val="24"/>
          <w:lang w:val="en-US"/>
        </w:rPr>
        <w:t xml:space="preserve">, </w:t>
      </w:r>
    </w:p>
    <w:p w14:paraId="3A36E61A" w14:textId="77689A7B" w:rsidR="00F96A83" w:rsidRPr="00F96A83" w:rsidRDefault="002937B1" w:rsidP="00F96A83">
      <w:pPr>
        <w:pStyle w:val="ListParagraph"/>
        <w:spacing w:before="0" w:line="240" w:lineRule="auto"/>
        <w:ind w:left="0"/>
        <w:contextualSpacing w:val="0"/>
        <w:jc w:val="center"/>
        <w:rPr>
          <w:i/>
          <w:iCs/>
          <w:lang w:val="en-US"/>
        </w:rPr>
      </w:pPr>
      <w:r w:rsidRPr="00DA5472">
        <w:rPr>
          <w:rFonts w:cs="Times New Roman"/>
          <w:i/>
          <w:szCs w:val="24"/>
          <w:lang w:val="en-US"/>
        </w:rPr>
        <w:t>*</w:t>
      </w:r>
      <w:r w:rsidR="00C04EBD" w:rsidRPr="00DA5472">
        <w:rPr>
          <w:rFonts w:cs="Times New Roman"/>
          <w:i/>
          <w:szCs w:val="24"/>
          <w:lang w:val="en-US"/>
        </w:rPr>
        <w:t xml:space="preserve"> </w:t>
      </w:r>
      <w:hyperlink r:id="rId8" w:history="1">
        <w:r w:rsidR="00F96A83" w:rsidRPr="00F96A83">
          <w:rPr>
            <w:rStyle w:val="Hyperlink"/>
            <w:i/>
            <w:iCs/>
            <w:lang w:val="en-US"/>
          </w:rPr>
          <w:t>afantitis@novamechanics.com</w:t>
        </w:r>
      </w:hyperlink>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0FE9B354" w:rsidR="002937B1" w:rsidRPr="00781049" w:rsidRDefault="00650F36" w:rsidP="001327BE">
      <w:pPr>
        <w:spacing w:after="20" w:line="240" w:lineRule="auto"/>
        <w:jc w:val="both"/>
        <w:rPr>
          <w:rStyle w:val="hps"/>
          <w:rFonts w:cs="Times New Roman"/>
          <w:bCs/>
          <w:color w:val="FF0000"/>
          <w:szCs w:val="24"/>
          <w:lang w:val="en-US"/>
        </w:rPr>
      </w:pPr>
      <w:r>
        <w:rPr>
          <w:rStyle w:val="hps"/>
          <w:rFonts w:cs="Times New Roman"/>
          <w:b/>
          <w:szCs w:val="24"/>
          <w:lang w:val="en-US"/>
        </w:rPr>
        <w:t>ABSTRACT</w:t>
      </w:r>
      <w:r w:rsidR="00DA5472" w:rsidRPr="00781049">
        <w:rPr>
          <w:rStyle w:val="hps"/>
          <w:rFonts w:cs="Times New Roman"/>
          <w:b/>
          <w:szCs w:val="24"/>
          <w:lang w:val="en-US"/>
        </w:rPr>
        <w:t xml:space="preserve"> </w:t>
      </w:r>
    </w:p>
    <w:p w14:paraId="6029D4EB" w14:textId="5F3D1205" w:rsidR="00752FFA" w:rsidRDefault="00492597" w:rsidP="00752FFA">
      <w:pPr>
        <w:pStyle w:val="abstract"/>
        <w:spacing w:after="0" w:line="240" w:lineRule="auto"/>
        <w:rPr>
          <w:rStyle w:val="hps"/>
          <w:rFonts w:asciiTheme="minorHAnsi" w:eastAsiaTheme="minorHAnsi" w:hAnsiTheme="minorHAnsi"/>
          <w:color w:val="000000" w:themeColor="text1"/>
          <w:sz w:val="24"/>
          <w:szCs w:val="24"/>
          <w:lang w:eastAsia="en-US"/>
        </w:rPr>
      </w:pPr>
      <w:r w:rsidRPr="00752FFA">
        <w:rPr>
          <w:rStyle w:val="hps"/>
          <w:rFonts w:asciiTheme="minorHAnsi" w:eastAsiaTheme="minorHAnsi" w:hAnsiTheme="minorHAnsi"/>
          <w:color w:val="000000" w:themeColor="text1"/>
          <w:sz w:val="24"/>
          <w:lang w:eastAsia="en-US"/>
        </w:rPr>
        <w:t xml:space="preserve">Nanomaterials (NMs) </w:t>
      </w:r>
      <w:r w:rsidR="00752FFA" w:rsidRPr="00752FFA">
        <w:rPr>
          <w:rStyle w:val="hps"/>
          <w:rFonts w:asciiTheme="minorHAnsi" w:eastAsiaTheme="minorHAnsi" w:hAnsiTheme="minorHAnsi"/>
          <w:color w:val="000000" w:themeColor="text1"/>
          <w:sz w:val="24"/>
          <w:szCs w:val="24"/>
          <w:lang w:eastAsia="en-US"/>
        </w:rPr>
        <w:t>The growing trend of employing machine learning and data analysis methods in various disciplines and sectors that are not strongly associated to informatics (e.g., marketing, social sciences), requires the use of algorithms by individuals or professionals who in many cases lack deep programming skills. Thus, there is a need to access and utilize these techniques through easy-to-use, and intuitive environments, which at the same time offer access to powerful computing tools without the need for code development. The Isalos Predictive Analytics Platform addresses these needs, as it offers a plethora of ready-to-use, well-known machine learning methods without the need of any coding skills. These methods can be implemented through a user-friendly and easy-to-learn graphical interface. In this chapter we present and discuss, with the aid of case studies, the main features of the Isalos platform to facilitate data analysis and modelling. We aspire that by the end of this chapter, the reader will perceive the efficiency of the platform, and its versatility to their own data analysis and machine learning requirements.</w:t>
      </w:r>
    </w:p>
    <w:p w14:paraId="44E92BD3" w14:textId="4043079B" w:rsidR="00752FFA" w:rsidRDefault="00752FFA" w:rsidP="00752FFA">
      <w:pPr>
        <w:rPr>
          <w:lang w:val="en-US"/>
        </w:rPr>
      </w:pPr>
    </w:p>
    <w:p w14:paraId="7D8C53FB" w14:textId="77777777" w:rsidR="00752FFA" w:rsidRDefault="00752FFA" w:rsidP="00752FFA">
      <w:pPr>
        <w:adjustRightInd w:val="0"/>
        <w:spacing w:before="360" w:after="120" w:line="240" w:lineRule="auto"/>
        <w:jc w:val="both"/>
        <w:rPr>
          <w:rFonts w:ascii="Times" w:hAnsi="Times" w:cs="Times"/>
          <w:sz w:val="20"/>
          <w:szCs w:val="20"/>
          <w:lang w:eastAsia="zh-CN"/>
        </w:rPr>
      </w:pPr>
      <w:r>
        <w:rPr>
          <w:noProof/>
        </w:rPr>
        <w:drawing>
          <wp:inline distT="0" distB="0" distL="0" distR="0" wp14:anchorId="171BD457" wp14:editId="68AFD95F">
            <wp:extent cx="6035040" cy="2249517"/>
            <wp:effectExtent l="0" t="0" r="3810" b="0"/>
            <wp:docPr id="8" name="Εικόνα 8" descr="Graphical user interface, application, Word,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Graphical user interface, application, Word, Exce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7759" cy="2254258"/>
                    </a:xfrm>
                    <a:prstGeom prst="rect">
                      <a:avLst/>
                    </a:prstGeom>
                  </pic:spPr>
                </pic:pic>
              </a:graphicData>
            </a:graphic>
          </wp:inline>
        </w:drawing>
      </w:r>
    </w:p>
    <w:p w14:paraId="0B7EB614" w14:textId="67A95447" w:rsidR="00752FFA" w:rsidRPr="00752FFA" w:rsidRDefault="00752FFA" w:rsidP="00752FFA">
      <w:pPr>
        <w:adjustRightInd w:val="0"/>
        <w:spacing w:after="0" w:line="240" w:lineRule="auto"/>
        <w:jc w:val="both"/>
        <w:rPr>
          <w:rFonts w:ascii="Times" w:hAnsi="Times" w:cs="Times"/>
          <w:sz w:val="22"/>
          <w:lang w:eastAsia="zh-CN"/>
        </w:rPr>
      </w:pPr>
      <w:r w:rsidRPr="00752FFA">
        <w:rPr>
          <w:rFonts w:ascii="Times" w:hAnsi="Times" w:cs="Times"/>
          <w:b/>
          <w:bCs/>
          <w:sz w:val="22"/>
          <w:lang w:eastAsia="zh-CN"/>
        </w:rPr>
        <w:t>Fig. 1</w:t>
      </w:r>
      <w:r w:rsidRPr="00752FFA">
        <w:rPr>
          <w:rFonts w:ascii="Times" w:hAnsi="Times" w:cs="Times"/>
          <w:sz w:val="22"/>
          <w:lang w:eastAsia="zh-CN"/>
        </w:rPr>
        <w:t xml:space="preserve"> Operational concept of Isalos platform. Isalos tabs act like nodes, where data are imported and exported in tabular format. In between they are processed and transformed using specific functions.</w:t>
      </w:r>
    </w:p>
    <w:p w14:paraId="6687A9DC" w14:textId="77777777" w:rsidR="00752FFA" w:rsidRPr="00752FFA" w:rsidRDefault="00752FFA" w:rsidP="00752FFA"/>
    <w:p w14:paraId="4C8E6EDA" w14:textId="77777777" w:rsidR="00752FFA" w:rsidRPr="00752FFA" w:rsidRDefault="00752FFA" w:rsidP="00752FFA">
      <w:pPr>
        <w:rPr>
          <w:lang w:val="en-US"/>
        </w:rPr>
      </w:pPr>
    </w:p>
    <w:p w14:paraId="2A6E70CF" w14:textId="37D456AB" w:rsidR="00670DAB" w:rsidRPr="00781049" w:rsidRDefault="00411CC6" w:rsidP="00752FFA">
      <w:pPr>
        <w:spacing w:after="20" w:line="240" w:lineRule="auto"/>
        <w:jc w:val="both"/>
        <w:rPr>
          <w:rFonts w:cs="Times New Roman"/>
          <w:b/>
          <w:bCs/>
          <w:sz w:val="20"/>
          <w:szCs w:val="20"/>
          <w:lang w:val="en-US"/>
        </w:rPr>
      </w:pPr>
      <w:r w:rsidRPr="00E7049B">
        <w:rPr>
          <w:rFonts w:cs="Times New Roman"/>
          <w:b/>
          <w:bCs/>
          <w:szCs w:val="24"/>
          <w:lang w:val="en-US"/>
        </w:rPr>
        <w:t>KEYWORDS</w:t>
      </w:r>
      <w:r w:rsidR="00ED7AD7" w:rsidRPr="00781049">
        <w:rPr>
          <w:rFonts w:cs="Times New Roman"/>
          <w:b/>
          <w:bCs/>
          <w:szCs w:val="24"/>
          <w:lang w:val="en-US"/>
        </w:rPr>
        <w:t>:</w:t>
      </w:r>
      <w:r w:rsidR="00DE346C" w:rsidRPr="00781049">
        <w:rPr>
          <w:rFonts w:cs="Times New Roman"/>
          <w:b/>
          <w:bCs/>
          <w:sz w:val="20"/>
          <w:szCs w:val="20"/>
          <w:lang w:val="en-US"/>
        </w:rPr>
        <w:t xml:space="preserve"> </w:t>
      </w:r>
      <w:r w:rsidR="00752FFA">
        <w:rPr>
          <w:rFonts w:cs="Times New Roman"/>
          <w:sz w:val="20"/>
          <w:szCs w:val="20"/>
          <w:lang w:val="en-US"/>
        </w:rPr>
        <w:t xml:space="preserve">Machine Learning, Artificial Intelligence, Zero Code, Analytics </w:t>
      </w:r>
    </w:p>
    <w:p w14:paraId="71B43080" w14:textId="6CD57D9A" w:rsidR="000E7582" w:rsidRPr="00781049" w:rsidRDefault="000E7582" w:rsidP="00055CAD">
      <w:pPr>
        <w:spacing w:after="20" w:line="240" w:lineRule="auto"/>
        <w:jc w:val="both"/>
        <w:rPr>
          <w:rFonts w:cs="Times New Roman"/>
          <w:b/>
          <w:bCs/>
          <w:szCs w:val="24"/>
          <w:lang w:val="en-US"/>
        </w:rPr>
      </w:pPr>
    </w:p>
    <w:p w14:paraId="2D0CB9D4" w14:textId="09514814" w:rsidR="00FE3EA7" w:rsidRDefault="00FE3EA7" w:rsidP="00055CAD">
      <w:pPr>
        <w:spacing w:after="20" w:line="240" w:lineRule="auto"/>
        <w:jc w:val="both"/>
        <w:rPr>
          <w:rFonts w:cs="Times New Roman"/>
          <w:b/>
          <w:bCs/>
          <w:szCs w:val="24"/>
          <w:lang w:val="en-US"/>
        </w:rPr>
      </w:pPr>
      <w:bookmarkStart w:id="1" w:name="_Hlk103207829"/>
      <w:r w:rsidRPr="00FE3EA7">
        <w:rPr>
          <w:rFonts w:cs="Times New Roman"/>
          <w:b/>
          <w:bCs/>
          <w:szCs w:val="24"/>
          <w:lang w:val="en-US"/>
        </w:rPr>
        <w:t>ACKNOWLEDGMENT</w:t>
      </w:r>
    </w:p>
    <w:p w14:paraId="0E46EB74" w14:textId="43FF6B95" w:rsidR="00FE3EA7" w:rsidRPr="00461D0F" w:rsidRDefault="00FE3EA7" w:rsidP="00FE3EA7">
      <w:pPr>
        <w:spacing w:after="20" w:line="240" w:lineRule="auto"/>
        <w:jc w:val="both"/>
        <w:rPr>
          <w:rFonts w:cs="Times New Roman"/>
          <w:sz w:val="20"/>
          <w:szCs w:val="20"/>
          <w:lang w:val="en-US"/>
        </w:rPr>
      </w:pPr>
      <w:r w:rsidRPr="00461D0F">
        <w:rPr>
          <w:rFonts w:cs="Times New Roman"/>
          <w:sz w:val="20"/>
          <w:szCs w:val="20"/>
          <w:lang w:val="en-US"/>
        </w:rPr>
        <w:t xml:space="preserve">This work received funding from the European Union's Horizon 2020 research and innovation </w:t>
      </w:r>
      <w:proofErr w:type="spellStart"/>
      <w:r w:rsidRPr="00461D0F">
        <w:rPr>
          <w:rFonts w:cs="Times New Roman"/>
          <w:sz w:val="20"/>
          <w:szCs w:val="20"/>
          <w:lang w:val="en-US"/>
        </w:rPr>
        <w:t>programme</w:t>
      </w:r>
      <w:proofErr w:type="spellEnd"/>
      <w:r w:rsidRPr="00461D0F">
        <w:rPr>
          <w:rFonts w:cs="Times New Roman"/>
          <w:sz w:val="20"/>
          <w:szCs w:val="20"/>
          <w:lang w:val="en-US"/>
        </w:rPr>
        <w:t xml:space="preserve"> via NanoSolveIT</w:t>
      </w:r>
      <w:r w:rsidR="00E64AC1">
        <w:rPr>
          <w:rFonts w:cs="Times New Roman"/>
          <w:sz w:val="20"/>
          <w:szCs w:val="20"/>
          <w:lang w:val="en-US"/>
        </w:rPr>
        <w:t xml:space="preserve">, </w:t>
      </w:r>
      <w:proofErr w:type="spellStart"/>
      <w:r w:rsidR="00E64AC1">
        <w:rPr>
          <w:rFonts w:cs="Times New Roman"/>
          <w:sz w:val="20"/>
          <w:szCs w:val="20"/>
          <w:lang w:val="en-US"/>
        </w:rPr>
        <w:t>NanoCommons</w:t>
      </w:r>
      <w:proofErr w:type="spellEnd"/>
      <w:r w:rsidR="00E64AC1">
        <w:rPr>
          <w:rFonts w:cs="Times New Roman"/>
          <w:sz w:val="20"/>
          <w:szCs w:val="20"/>
          <w:lang w:val="en-US"/>
        </w:rPr>
        <w:t xml:space="preserve">, </w:t>
      </w:r>
      <w:proofErr w:type="spellStart"/>
      <w:r w:rsidR="00E64AC1">
        <w:rPr>
          <w:rFonts w:cs="Times New Roman"/>
          <w:sz w:val="20"/>
          <w:szCs w:val="20"/>
          <w:lang w:val="en-US"/>
        </w:rPr>
        <w:t>CompSafeno</w:t>
      </w:r>
      <w:proofErr w:type="spellEnd"/>
      <w:r w:rsidR="00E64AC1">
        <w:rPr>
          <w:rFonts w:cs="Times New Roman"/>
          <w:sz w:val="20"/>
          <w:szCs w:val="20"/>
          <w:lang w:val="en-US"/>
        </w:rPr>
        <w:t xml:space="preserve"> </w:t>
      </w:r>
      <w:proofErr w:type="spellStart"/>
      <w:r w:rsidR="00E64AC1">
        <w:rPr>
          <w:rFonts w:cs="Times New Roman"/>
          <w:sz w:val="20"/>
          <w:szCs w:val="20"/>
          <w:lang w:val="en-US"/>
        </w:rPr>
        <w:t>ands</w:t>
      </w:r>
      <w:proofErr w:type="spellEnd"/>
      <w:r w:rsidR="00E64AC1">
        <w:rPr>
          <w:rFonts w:cs="Times New Roman"/>
          <w:sz w:val="20"/>
          <w:szCs w:val="20"/>
          <w:lang w:val="en-US"/>
        </w:rPr>
        <w:t xml:space="preserve"> </w:t>
      </w:r>
      <w:proofErr w:type="spellStart"/>
      <w:r w:rsidR="00E64AC1">
        <w:rPr>
          <w:rFonts w:cs="Times New Roman"/>
          <w:sz w:val="20"/>
          <w:szCs w:val="20"/>
          <w:lang w:val="en-US"/>
        </w:rPr>
        <w:t>Sabydoma</w:t>
      </w:r>
      <w:proofErr w:type="spellEnd"/>
      <w:r w:rsidRPr="00461D0F">
        <w:rPr>
          <w:rFonts w:cs="Times New Roman"/>
          <w:sz w:val="20"/>
          <w:szCs w:val="20"/>
          <w:lang w:val="en-US"/>
        </w:rPr>
        <w:t xml:space="preserve"> Project</w:t>
      </w:r>
      <w:r w:rsidR="00E64AC1">
        <w:rPr>
          <w:rFonts w:cs="Times New Roman"/>
          <w:sz w:val="20"/>
          <w:szCs w:val="20"/>
          <w:lang w:val="en-US"/>
        </w:rPr>
        <w:t>s</w:t>
      </w:r>
    </w:p>
    <w:bookmarkEnd w:id="1"/>
    <w:p w14:paraId="5858006D" w14:textId="71C39FF5" w:rsidR="00FE3EA7" w:rsidRPr="00781049" w:rsidRDefault="00FE3EA7" w:rsidP="00055CAD">
      <w:pPr>
        <w:spacing w:after="20" w:line="240" w:lineRule="auto"/>
        <w:jc w:val="both"/>
        <w:rPr>
          <w:rFonts w:cs="Times New Roman"/>
          <w:b/>
          <w:bCs/>
          <w:szCs w:val="24"/>
          <w:lang w:val="en-US"/>
        </w:rPr>
      </w:pPr>
    </w:p>
    <w:p w14:paraId="78DC6CF1" w14:textId="77777777" w:rsidR="00461D0F" w:rsidRPr="00781049" w:rsidRDefault="00461D0F" w:rsidP="00055CAD">
      <w:pPr>
        <w:spacing w:after="20" w:line="240" w:lineRule="auto"/>
        <w:jc w:val="both"/>
        <w:rPr>
          <w:rFonts w:cs="Times New Roman"/>
          <w:b/>
          <w:bCs/>
          <w:szCs w:val="24"/>
          <w:lang w:val="en-US"/>
        </w:rPr>
      </w:pPr>
    </w:p>
    <w:p w14:paraId="5B7F0696" w14:textId="503E015D" w:rsidR="000E7582" w:rsidRPr="00E7049B" w:rsidRDefault="00650F36" w:rsidP="00055CAD">
      <w:pPr>
        <w:spacing w:after="20" w:line="240" w:lineRule="auto"/>
        <w:jc w:val="both"/>
        <w:rPr>
          <w:rFonts w:cs="Times New Roman"/>
          <w:b/>
          <w:bCs/>
          <w:szCs w:val="24"/>
          <w:lang w:val="en-US"/>
        </w:rPr>
      </w:pPr>
      <w:r w:rsidRPr="00E7049B">
        <w:rPr>
          <w:rFonts w:cs="Times New Roman"/>
          <w:b/>
          <w:bCs/>
          <w:szCs w:val="24"/>
          <w:lang w:val="en-US"/>
        </w:rPr>
        <w:t>REFE</w:t>
      </w:r>
      <w:r w:rsidR="00AC44BD" w:rsidRPr="00E7049B">
        <w:rPr>
          <w:rFonts w:cs="Times New Roman"/>
          <w:b/>
          <w:bCs/>
          <w:szCs w:val="24"/>
          <w:lang w:val="en-US"/>
        </w:rPr>
        <w:t>R</w:t>
      </w:r>
      <w:r w:rsidRPr="00E7049B">
        <w:rPr>
          <w:rFonts w:cs="Times New Roman"/>
          <w:b/>
          <w:bCs/>
          <w:szCs w:val="24"/>
          <w:lang w:val="en-US"/>
        </w:rPr>
        <w:t>ENCES</w:t>
      </w:r>
    </w:p>
    <w:p w14:paraId="1D7BAB28" w14:textId="3EF7EAA2" w:rsidR="004F7B38" w:rsidRDefault="0016379E" w:rsidP="00C22627">
      <w:pPr>
        <w:pStyle w:val="Bibliography"/>
        <w:spacing w:after="0"/>
        <w:rPr>
          <w:rFonts w:ascii="Calibri Light" w:hAnsi="Calibri Light" w:cs="Calibri Light"/>
          <w:noProof/>
          <w:sz w:val="20"/>
          <w:szCs w:val="20"/>
        </w:rPr>
      </w:pPr>
      <w:r>
        <w:rPr>
          <w:rFonts w:ascii="Calibri Light" w:hAnsi="Calibri Light" w:cs="Calibri Light"/>
          <w:noProof/>
          <w:szCs w:val="24"/>
        </w:rPr>
        <w:t xml:space="preserve">[1] </w:t>
      </w:r>
      <w:r w:rsidRPr="0016379E">
        <w:rPr>
          <w:rFonts w:ascii="Calibri Light" w:hAnsi="Calibri Light" w:cs="Calibri Light"/>
          <w:noProof/>
          <w:sz w:val="20"/>
          <w:szCs w:val="20"/>
        </w:rPr>
        <w:t xml:space="preserve">Papadiamantis AG, Afantitis A, Tsoumanis A, et al (2021) Computational enrichment of physicochemical data for the development of a ζ-potential read-across predictive model with Isalos Analytics Platform. NanoImpact 22:100308. </w:t>
      </w:r>
      <w:hyperlink r:id="rId10" w:history="1">
        <w:r w:rsidRPr="0088058F">
          <w:rPr>
            <w:rStyle w:val="Hyperlink"/>
            <w:rFonts w:ascii="Calibri Light" w:hAnsi="Calibri Light" w:cs="Calibri Light"/>
            <w:noProof/>
            <w:sz w:val="20"/>
            <w:szCs w:val="20"/>
          </w:rPr>
          <w:t>https://doi.org/10.1016/j.impact.2021.100308</w:t>
        </w:r>
      </w:hyperlink>
    </w:p>
    <w:p w14:paraId="7FF97170" w14:textId="2D26340F" w:rsidR="0016379E" w:rsidRPr="0016379E" w:rsidRDefault="0016379E" w:rsidP="0016379E">
      <w:pPr>
        <w:rPr>
          <w:lang w:val="en-US"/>
        </w:rPr>
      </w:pPr>
      <w:r>
        <w:rPr>
          <w:lang w:val="en-US"/>
        </w:rPr>
        <w:t xml:space="preserve">[2] </w:t>
      </w:r>
      <w:r w:rsidRPr="0016379E">
        <w:rPr>
          <w:rFonts w:ascii="Calibri Light" w:hAnsi="Calibri Light" w:cs="Calibri Light"/>
          <w:noProof/>
          <w:sz w:val="20"/>
          <w:szCs w:val="20"/>
        </w:rPr>
        <w:t xml:space="preserve">Papadiamantis AG, Jänes J, Voyiatzis E, et al (2020) Predicting cytotoxicity of metal oxide nanoparticles using isalos analytics platform. Nanomaterials 10:1–19. </w:t>
      </w:r>
      <w:hyperlink r:id="rId11" w:history="1">
        <w:r w:rsidRPr="0088058F">
          <w:rPr>
            <w:rStyle w:val="Hyperlink"/>
            <w:rFonts w:ascii="Calibri Light" w:hAnsi="Calibri Light" w:cs="Calibri Light"/>
            <w:noProof/>
            <w:sz w:val="20"/>
            <w:szCs w:val="20"/>
          </w:rPr>
          <w:t>https://doi.org/10.3390/nano10102017</w:t>
        </w:r>
      </w:hyperlink>
      <w:r>
        <w:rPr>
          <w:rFonts w:ascii="Calibri Light" w:hAnsi="Calibri Light" w:cs="Calibri Light"/>
          <w:noProof/>
          <w:sz w:val="20"/>
          <w:szCs w:val="20"/>
        </w:rPr>
        <w:t xml:space="preserve"> </w:t>
      </w:r>
    </w:p>
    <w:sectPr w:rsidR="0016379E" w:rsidRPr="0016379E" w:rsidSect="000323E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CDE5" w14:textId="77777777" w:rsidR="00C83484" w:rsidRDefault="00C83484" w:rsidP="00B10FCD">
      <w:pPr>
        <w:spacing w:after="0" w:line="240" w:lineRule="auto"/>
      </w:pPr>
      <w:r>
        <w:separator/>
      </w:r>
    </w:p>
  </w:endnote>
  <w:endnote w:type="continuationSeparator" w:id="0">
    <w:p w14:paraId="28E35E6A" w14:textId="77777777" w:rsidR="00C83484" w:rsidRDefault="00C83484"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CCFE" w14:textId="77777777" w:rsidR="00C83484" w:rsidRDefault="00C83484" w:rsidP="00B10FCD">
      <w:pPr>
        <w:spacing w:after="0" w:line="240" w:lineRule="auto"/>
      </w:pPr>
      <w:r>
        <w:separator/>
      </w:r>
    </w:p>
  </w:footnote>
  <w:footnote w:type="continuationSeparator" w:id="0">
    <w:p w14:paraId="2C957DA0" w14:textId="77777777" w:rsidR="00C83484" w:rsidRDefault="00C83484"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16cid:durableId="90191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67E86"/>
    <w:rsid w:val="00083B97"/>
    <w:rsid w:val="000A09BB"/>
    <w:rsid w:val="000E7582"/>
    <w:rsid w:val="000F0425"/>
    <w:rsid w:val="00100E5B"/>
    <w:rsid w:val="001327BE"/>
    <w:rsid w:val="00134726"/>
    <w:rsid w:val="00135E8D"/>
    <w:rsid w:val="00137B0D"/>
    <w:rsid w:val="0016379E"/>
    <w:rsid w:val="001C2493"/>
    <w:rsid w:val="0025253A"/>
    <w:rsid w:val="00257888"/>
    <w:rsid w:val="002607CE"/>
    <w:rsid w:val="0026220E"/>
    <w:rsid w:val="0027478C"/>
    <w:rsid w:val="00274A31"/>
    <w:rsid w:val="00292FC8"/>
    <w:rsid w:val="002937B1"/>
    <w:rsid w:val="002938E7"/>
    <w:rsid w:val="002A165D"/>
    <w:rsid w:val="002B13CB"/>
    <w:rsid w:val="002D61DC"/>
    <w:rsid w:val="00366A5B"/>
    <w:rsid w:val="003F4BCB"/>
    <w:rsid w:val="00406EAA"/>
    <w:rsid w:val="00411CC6"/>
    <w:rsid w:val="00461D0F"/>
    <w:rsid w:val="00492597"/>
    <w:rsid w:val="004B0E2D"/>
    <w:rsid w:val="004B5E38"/>
    <w:rsid w:val="004F7B38"/>
    <w:rsid w:val="00551924"/>
    <w:rsid w:val="005537A8"/>
    <w:rsid w:val="00554754"/>
    <w:rsid w:val="00575404"/>
    <w:rsid w:val="005900B3"/>
    <w:rsid w:val="005A4565"/>
    <w:rsid w:val="005A72D5"/>
    <w:rsid w:val="005C7215"/>
    <w:rsid w:val="00650F36"/>
    <w:rsid w:val="00670DAB"/>
    <w:rsid w:val="00674637"/>
    <w:rsid w:val="006E4035"/>
    <w:rsid w:val="006F23EE"/>
    <w:rsid w:val="006F6369"/>
    <w:rsid w:val="006F776E"/>
    <w:rsid w:val="00705DF0"/>
    <w:rsid w:val="00725E15"/>
    <w:rsid w:val="007301C1"/>
    <w:rsid w:val="00730905"/>
    <w:rsid w:val="00732BC1"/>
    <w:rsid w:val="00733564"/>
    <w:rsid w:val="00752FFA"/>
    <w:rsid w:val="00781049"/>
    <w:rsid w:val="007A07A6"/>
    <w:rsid w:val="007A3AD3"/>
    <w:rsid w:val="007F18AF"/>
    <w:rsid w:val="008115E5"/>
    <w:rsid w:val="00870B40"/>
    <w:rsid w:val="008C10FD"/>
    <w:rsid w:val="008E100E"/>
    <w:rsid w:val="008E2159"/>
    <w:rsid w:val="008F7843"/>
    <w:rsid w:val="00912656"/>
    <w:rsid w:val="00915963"/>
    <w:rsid w:val="0091656E"/>
    <w:rsid w:val="00935497"/>
    <w:rsid w:val="009803F2"/>
    <w:rsid w:val="00992377"/>
    <w:rsid w:val="00997EF7"/>
    <w:rsid w:val="009B71DC"/>
    <w:rsid w:val="009C653D"/>
    <w:rsid w:val="009E2678"/>
    <w:rsid w:val="009E55CD"/>
    <w:rsid w:val="00A105F5"/>
    <w:rsid w:val="00A55B7A"/>
    <w:rsid w:val="00A62E9F"/>
    <w:rsid w:val="00A63F1D"/>
    <w:rsid w:val="00A65332"/>
    <w:rsid w:val="00A8261D"/>
    <w:rsid w:val="00A84D47"/>
    <w:rsid w:val="00AA4FE7"/>
    <w:rsid w:val="00AB16ED"/>
    <w:rsid w:val="00AC44BD"/>
    <w:rsid w:val="00AD1BEF"/>
    <w:rsid w:val="00AD393E"/>
    <w:rsid w:val="00AE788E"/>
    <w:rsid w:val="00AF459A"/>
    <w:rsid w:val="00B10FCD"/>
    <w:rsid w:val="00B32375"/>
    <w:rsid w:val="00B36AC7"/>
    <w:rsid w:val="00B40A6F"/>
    <w:rsid w:val="00BB7896"/>
    <w:rsid w:val="00BD1C25"/>
    <w:rsid w:val="00C04EBD"/>
    <w:rsid w:val="00C07544"/>
    <w:rsid w:val="00C22627"/>
    <w:rsid w:val="00C55D63"/>
    <w:rsid w:val="00C83484"/>
    <w:rsid w:val="00C84852"/>
    <w:rsid w:val="00CD621E"/>
    <w:rsid w:val="00CF4EEC"/>
    <w:rsid w:val="00D2626A"/>
    <w:rsid w:val="00D678BE"/>
    <w:rsid w:val="00D67AEB"/>
    <w:rsid w:val="00D71916"/>
    <w:rsid w:val="00DA5472"/>
    <w:rsid w:val="00DC1E64"/>
    <w:rsid w:val="00DD11ED"/>
    <w:rsid w:val="00DE346C"/>
    <w:rsid w:val="00E06750"/>
    <w:rsid w:val="00E56E3D"/>
    <w:rsid w:val="00E63CAC"/>
    <w:rsid w:val="00E64AC1"/>
    <w:rsid w:val="00E7049B"/>
    <w:rsid w:val="00E853C3"/>
    <w:rsid w:val="00E87E35"/>
    <w:rsid w:val="00EB6632"/>
    <w:rsid w:val="00EC64ED"/>
    <w:rsid w:val="00ED7AD7"/>
    <w:rsid w:val="00F14AF0"/>
    <w:rsid w:val="00F651B9"/>
    <w:rsid w:val="00F738AD"/>
    <w:rsid w:val="00F77854"/>
    <w:rsid w:val="00F838E5"/>
    <w:rsid w:val="00F92F1C"/>
    <w:rsid w:val="00F93E11"/>
    <w:rsid w:val="00F96A83"/>
    <w:rsid w:val="00FD0A21"/>
    <w:rsid w:val="00FE3EA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F96A83"/>
    <w:rPr>
      <w:color w:val="605E5C"/>
      <w:shd w:val="clear" w:color="auto" w:fill="E1DFDD"/>
    </w:rPr>
  </w:style>
  <w:style w:type="paragraph" w:styleId="Bibliography">
    <w:name w:val="Bibliography"/>
    <w:basedOn w:val="Normal"/>
    <w:next w:val="Normal"/>
    <w:uiPriority w:val="37"/>
    <w:unhideWhenUsed/>
    <w:rsid w:val="000F0425"/>
    <w:pPr>
      <w:tabs>
        <w:tab w:val="left" w:pos="384"/>
      </w:tabs>
      <w:spacing w:after="240" w:line="240" w:lineRule="auto"/>
      <w:ind w:left="384" w:hanging="384"/>
    </w:pPr>
  </w:style>
  <w:style w:type="character" w:customStyle="1" w:styleId="italic">
    <w:name w:val="italic"/>
    <w:basedOn w:val="DefaultParagraphFont"/>
    <w:rsid w:val="00292FC8"/>
  </w:style>
  <w:style w:type="paragraph" w:customStyle="1" w:styleId="abstract">
    <w:name w:val="abstract"/>
    <w:basedOn w:val="Normal"/>
    <w:next w:val="Normal"/>
    <w:rsid w:val="00752FFA"/>
    <w:pPr>
      <w:overflowPunct w:val="0"/>
      <w:autoSpaceDE w:val="0"/>
      <w:autoSpaceDN w:val="0"/>
      <w:adjustRightInd w:val="0"/>
      <w:spacing w:before="480" w:after="480" w:line="240" w:lineRule="atLeast"/>
      <w:jc w:val="both"/>
      <w:textAlignment w:val="baseline"/>
    </w:pPr>
    <w:rPr>
      <w:rFonts w:ascii="Times" w:eastAsiaTheme="minorEastAsia" w:hAnsi="Times" w:cs="Times New Roman"/>
      <w:color w:val="auto"/>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antitis@novamechanic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nano101020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16/j.impact.2021.1003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31C2-B9F0-46DE-96FC-014892AE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2183</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Antreas Afantitis</cp:lastModifiedBy>
  <cp:revision>5</cp:revision>
  <cp:lastPrinted>2016-12-14T08:08:00Z</cp:lastPrinted>
  <dcterms:created xsi:type="dcterms:W3CDTF">2022-05-11T21:38:00Z</dcterms:created>
  <dcterms:modified xsi:type="dcterms:W3CDTF">2022-05-11T21:48:00Z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id="KTmGmzLv"/&gt;&lt;style id="http://www.zotero.org/styles/academic-medicine" hasBibliography="1" bibliographyStyleHasBeenSet="1"/&gt;&lt;prefs&gt;&lt;pref name="fieldType" value="Field"/&gt;&lt;/prefs&gt;&lt;/data&gt;</vt:lpwstr>
  </property>
</Properties>
</file>